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82" w:rsidRDefault="00A51A82" w:rsidP="00A51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1A82" w:rsidRDefault="00A51A82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A51A82" w:rsidRDefault="00A51A82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A51A82" w:rsidRDefault="00A51A82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51A82" w:rsidRDefault="00A51A82" w:rsidP="00A51A82">
      <w:pPr>
        <w:jc w:val="center"/>
        <w:rPr>
          <w:sz w:val="28"/>
          <w:szCs w:val="28"/>
        </w:rPr>
      </w:pPr>
    </w:p>
    <w:p w:rsidR="00827461" w:rsidRPr="00827461" w:rsidRDefault="00827461" w:rsidP="00827461">
      <w:pPr>
        <w:jc w:val="both"/>
        <w:rPr>
          <w:sz w:val="28"/>
          <w:szCs w:val="28"/>
        </w:rPr>
      </w:pPr>
      <w:r w:rsidRPr="00827461">
        <w:rPr>
          <w:sz w:val="28"/>
          <w:szCs w:val="28"/>
        </w:rPr>
        <w:t xml:space="preserve">22 октября 2020 г.                         г. Георгиевск               </w:t>
      </w:r>
      <w:r>
        <w:rPr>
          <w:sz w:val="28"/>
          <w:szCs w:val="28"/>
        </w:rPr>
        <w:t xml:space="preserve">                          № 2667</w:t>
      </w:r>
    </w:p>
    <w:p w:rsidR="00515B7D" w:rsidRDefault="00515B7D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004984" w:rsidRPr="00A51A82" w:rsidRDefault="004C0806" w:rsidP="00A53AA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Hlk16580374"/>
      <w:r w:rsidRPr="00A51A82">
        <w:rPr>
          <w:sz w:val="28"/>
          <w:szCs w:val="28"/>
        </w:rPr>
        <w:t xml:space="preserve">Об утверждении Порядка </w:t>
      </w:r>
      <w:bookmarkEnd w:id="0"/>
    </w:p>
    <w:p w:rsidR="00004984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>оценки налоговых расходов</w:t>
      </w:r>
    </w:p>
    <w:p w:rsidR="00004984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 xml:space="preserve">Георгиевского городского </w:t>
      </w:r>
    </w:p>
    <w:p w:rsidR="00A53AA2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>округа Ставропольского края</w:t>
      </w:r>
    </w:p>
    <w:p w:rsidR="00B13999" w:rsidRPr="00C16299" w:rsidRDefault="00B13999" w:rsidP="00E43E10">
      <w:pPr>
        <w:jc w:val="both"/>
        <w:rPr>
          <w:sz w:val="28"/>
          <w:szCs w:val="28"/>
        </w:rPr>
      </w:pPr>
    </w:p>
    <w:p w:rsidR="00B13999" w:rsidRDefault="00B13999" w:rsidP="00E43E10">
      <w:pPr>
        <w:jc w:val="both"/>
        <w:rPr>
          <w:sz w:val="28"/>
        </w:rPr>
      </w:pPr>
    </w:p>
    <w:p w:rsidR="00E43E10" w:rsidRDefault="00E43E10" w:rsidP="00E43E10">
      <w:pPr>
        <w:jc w:val="both"/>
        <w:rPr>
          <w:sz w:val="28"/>
        </w:rPr>
      </w:pPr>
    </w:p>
    <w:p w:rsidR="00B13999" w:rsidRPr="00D04A76" w:rsidRDefault="004C0806" w:rsidP="00627A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53AA2">
        <w:rPr>
          <w:sz w:val="28"/>
          <w:szCs w:val="28"/>
        </w:rPr>
        <w:t xml:space="preserve">пунктом </w:t>
      </w:r>
      <w:r w:rsidR="00B625AA" w:rsidRPr="00A53AA2">
        <w:rPr>
          <w:sz w:val="28"/>
          <w:szCs w:val="28"/>
        </w:rPr>
        <w:t>2</w:t>
      </w:r>
      <w:r w:rsidRPr="00A53AA2">
        <w:rPr>
          <w:sz w:val="28"/>
          <w:szCs w:val="28"/>
        </w:rPr>
        <w:t xml:space="preserve"> статьи 174.3</w:t>
      </w:r>
      <w:r>
        <w:rPr>
          <w:sz w:val="28"/>
          <w:szCs w:val="28"/>
        </w:rPr>
        <w:t xml:space="preserve"> Бюджетного кодекса Российской Федерации</w:t>
      </w:r>
      <w:r w:rsidR="00B625AA">
        <w:rPr>
          <w:sz w:val="28"/>
          <w:szCs w:val="28"/>
        </w:rPr>
        <w:t xml:space="preserve"> и постановлением Правительства</w:t>
      </w:r>
      <w:r>
        <w:rPr>
          <w:sz w:val="28"/>
          <w:szCs w:val="28"/>
        </w:rPr>
        <w:t xml:space="preserve"> </w:t>
      </w:r>
      <w:r w:rsidR="00B625AA">
        <w:rPr>
          <w:sz w:val="28"/>
          <w:szCs w:val="28"/>
        </w:rPr>
        <w:t>Российской Федерации от 22 июня 2019 г. № 796</w:t>
      </w:r>
      <w:r w:rsidR="00A53AA2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B625AA">
        <w:rPr>
          <w:sz w:val="28"/>
          <w:szCs w:val="28"/>
        </w:rPr>
        <w:t xml:space="preserve">, </w:t>
      </w:r>
      <w:r w:rsidR="00B625AA" w:rsidRPr="00165695">
        <w:rPr>
          <w:sz w:val="28"/>
          <w:szCs w:val="28"/>
        </w:rPr>
        <w:t>на основании</w:t>
      </w:r>
      <w:r w:rsidR="00165695">
        <w:rPr>
          <w:sz w:val="28"/>
          <w:szCs w:val="28"/>
        </w:rPr>
        <w:t xml:space="preserve"> статей 57, 61 </w:t>
      </w:r>
      <w:r w:rsidR="001F2FBA">
        <w:rPr>
          <w:sz w:val="28"/>
          <w:szCs w:val="28"/>
        </w:rPr>
        <w:t xml:space="preserve">Устава </w:t>
      </w:r>
      <w:r w:rsidR="00165695">
        <w:rPr>
          <w:sz w:val="28"/>
          <w:szCs w:val="28"/>
        </w:rPr>
        <w:t xml:space="preserve">Георгиевского городского округа Ставропольского края </w:t>
      </w:r>
      <w:r w:rsidR="00B13999" w:rsidRPr="00627A71">
        <w:rPr>
          <w:sz w:val="28"/>
          <w:szCs w:val="28"/>
        </w:rPr>
        <w:t xml:space="preserve">администрация </w:t>
      </w:r>
      <w:r w:rsidR="00C16299" w:rsidRPr="00627A71">
        <w:rPr>
          <w:sz w:val="28"/>
          <w:szCs w:val="28"/>
        </w:rPr>
        <w:t>Георгиевского городского округа Ставропольского края</w:t>
      </w:r>
    </w:p>
    <w:p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:rsidR="00B13999" w:rsidRDefault="00B13999" w:rsidP="00A51A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13999" w:rsidRDefault="00B13999" w:rsidP="00B13999">
      <w:pPr>
        <w:rPr>
          <w:sz w:val="28"/>
          <w:szCs w:val="28"/>
        </w:rPr>
      </w:pPr>
    </w:p>
    <w:p w:rsidR="00E43E10" w:rsidRDefault="00E43E10" w:rsidP="00B13999">
      <w:pPr>
        <w:rPr>
          <w:sz w:val="28"/>
          <w:szCs w:val="28"/>
        </w:rPr>
      </w:pPr>
    </w:p>
    <w:p w:rsidR="00BF2EC7" w:rsidRPr="00757909" w:rsidRDefault="00B13999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BDF">
        <w:rPr>
          <w:sz w:val="28"/>
          <w:szCs w:val="28"/>
        </w:rPr>
        <w:t xml:space="preserve">1. </w:t>
      </w:r>
      <w:r w:rsidR="004C0806">
        <w:rPr>
          <w:sz w:val="28"/>
          <w:szCs w:val="28"/>
        </w:rPr>
        <w:t xml:space="preserve">Утвердить прилагаемый Порядок </w:t>
      </w:r>
      <w:r w:rsidR="00B625AA">
        <w:rPr>
          <w:sz w:val="28"/>
          <w:szCs w:val="28"/>
        </w:rPr>
        <w:t>оценки налоговых расходов</w:t>
      </w:r>
      <w:r w:rsidR="004C0806">
        <w:rPr>
          <w:sz w:val="28"/>
          <w:szCs w:val="28"/>
        </w:rPr>
        <w:t xml:space="preserve"> Георгиевского городского округа Ставропольского края</w:t>
      </w:r>
      <w:r w:rsidR="00B8726F">
        <w:rPr>
          <w:sz w:val="28"/>
          <w:szCs w:val="28"/>
        </w:rPr>
        <w:t>.</w:t>
      </w:r>
    </w:p>
    <w:p w:rsidR="00BF2EC7" w:rsidRPr="00757909" w:rsidRDefault="00BF2EC7" w:rsidP="00A51A8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13999" w:rsidRDefault="00F571D2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B13999" w:rsidRPr="00C16299">
        <w:rPr>
          <w:sz w:val="28"/>
        </w:rPr>
        <w:t xml:space="preserve">. </w:t>
      </w:r>
      <w:r w:rsidR="00CE2980" w:rsidRPr="00637AA9">
        <w:rPr>
          <w:sz w:val="28"/>
          <w:szCs w:val="28"/>
        </w:rPr>
        <w:t>Контроль за выполнением настоящего постановления возложить на за</w:t>
      </w:r>
      <w:r w:rsidR="00CE2980">
        <w:rPr>
          <w:sz w:val="28"/>
          <w:szCs w:val="28"/>
        </w:rPr>
        <w:t xml:space="preserve">местителя главы администрации </w:t>
      </w:r>
      <w:r w:rsidR="00B625AA">
        <w:rPr>
          <w:sz w:val="28"/>
          <w:szCs w:val="28"/>
        </w:rPr>
        <w:t>– н</w:t>
      </w:r>
      <w:r w:rsidR="00CE2980">
        <w:rPr>
          <w:sz w:val="28"/>
          <w:szCs w:val="28"/>
        </w:rPr>
        <w:t xml:space="preserve">ачальника финансового управления администрации Георгиевского городского округа Ставропольского края </w:t>
      </w:r>
      <w:proofErr w:type="spellStart"/>
      <w:r w:rsidR="00CE2980">
        <w:rPr>
          <w:sz w:val="28"/>
          <w:szCs w:val="28"/>
        </w:rPr>
        <w:t>Дубовикову</w:t>
      </w:r>
      <w:proofErr w:type="spellEnd"/>
      <w:r w:rsidR="00CE2980">
        <w:rPr>
          <w:sz w:val="28"/>
          <w:szCs w:val="28"/>
        </w:rPr>
        <w:t xml:space="preserve"> И.И.</w:t>
      </w:r>
    </w:p>
    <w:p w:rsidR="00CE2980" w:rsidRDefault="00CE2980" w:rsidP="00A51A82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7187B" w:rsidRPr="00F571D2" w:rsidRDefault="00F571D2" w:rsidP="00A51A82">
      <w:pPr>
        <w:ind w:firstLine="708"/>
        <w:jc w:val="both"/>
        <w:rPr>
          <w:rFonts w:eastAsiaTheme="minorEastAsia"/>
          <w:sz w:val="28"/>
          <w:szCs w:val="28"/>
        </w:rPr>
      </w:pPr>
      <w:r w:rsidRPr="00F571D2">
        <w:rPr>
          <w:sz w:val="28"/>
          <w:szCs w:val="28"/>
        </w:rPr>
        <w:t>3.</w:t>
      </w:r>
      <w:r w:rsidRPr="00951316">
        <w:t xml:space="preserve"> </w:t>
      </w:r>
      <w:r w:rsidRPr="00F571D2">
        <w:rPr>
          <w:rFonts w:eastAsiaTheme="minorEastAsia"/>
          <w:sz w:val="28"/>
          <w:szCs w:val="28"/>
        </w:rPr>
        <w:t>На</w:t>
      </w:r>
      <w:r w:rsidR="00A7187B">
        <w:rPr>
          <w:rFonts w:eastAsiaTheme="minorEastAsia"/>
          <w:sz w:val="28"/>
          <w:szCs w:val="28"/>
        </w:rPr>
        <w:t>стоящее постановление вступает в силу со дня его официального опубликования.</w:t>
      </w:r>
    </w:p>
    <w:p w:rsidR="00F571D2" w:rsidRPr="00F571D2" w:rsidRDefault="00F571D2" w:rsidP="00F571D2">
      <w:pPr>
        <w:rPr>
          <w:rFonts w:eastAsiaTheme="minorEastAsia"/>
          <w:sz w:val="28"/>
          <w:szCs w:val="28"/>
        </w:rPr>
      </w:pPr>
    </w:p>
    <w:p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A7187B" w:rsidRDefault="00A7187B" w:rsidP="00A5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полномочия Главы </w:t>
      </w:r>
    </w:p>
    <w:p w:rsidR="00A7187B" w:rsidRDefault="00A7187B" w:rsidP="00A5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A7187B" w:rsidRDefault="00A7187B" w:rsidP="00A5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Ж.А.Донец</w:t>
      </w:r>
    </w:p>
    <w:p w:rsidR="00A7187B" w:rsidRDefault="00A7187B" w:rsidP="00A51A82">
      <w:pPr>
        <w:spacing w:line="240" w:lineRule="exact"/>
        <w:jc w:val="both"/>
        <w:rPr>
          <w:rFonts w:eastAsia="MS Mincho"/>
          <w:sz w:val="28"/>
          <w:szCs w:val="28"/>
        </w:rPr>
      </w:pPr>
    </w:p>
    <w:p w:rsidR="00A7187B" w:rsidRDefault="00A7187B" w:rsidP="00A51A82">
      <w:pPr>
        <w:spacing w:line="240" w:lineRule="exact"/>
        <w:jc w:val="both"/>
        <w:rPr>
          <w:rFonts w:eastAsia="MS Mincho"/>
          <w:sz w:val="28"/>
          <w:szCs w:val="28"/>
        </w:rPr>
      </w:pPr>
    </w:p>
    <w:p w:rsidR="00A23E03" w:rsidRDefault="00A23E03" w:rsidP="00A51A82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Проект вносит </w:t>
      </w:r>
      <w:r w:rsidRPr="00015965">
        <w:rPr>
          <w:sz w:val="28"/>
          <w:szCs w:val="28"/>
        </w:rPr>
        <w:t>заместител</w:t>
      </w:r>
      <w:r>
        <w:rPr>
          <w:sz w:val="28"/>
          <w:szCs w:val="28"/>
        </w:rPr>
        <w:t>ь главы администрации - начальник</w:t>
      </w:r>
      <w:r w:rsidRPr="00015965">
        <w:rPr>
          <w:sz w:val="28"/>
          <w:szCs w:val="28"/>
        </w:rPr>
        <w:t xml:space="preserve"> финансового управления администрации</w:t>
      </w:r>
      <w:r>
        <w:rPr>
          <w:sz w:val="28"/>
          <w:szCs w:val="28"/>
        </w:rPr>
        <w:t xml:space="preserve">                                                          И.И.Дубовикова</w:t>
      </w: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A7187B" w:rsidRDefault="00A7187B" w:rsidP="00A51A82">
      <w:pPr>
        <w:spacing w:line="240" w:lineRule="exact"/>
        <w:ind w:left="-1418" w:right="1415"/>
        <w:jc w:val="both"/>
      </w:pPr>
      <w:r>
        <w:rPr>
          <w:sz w:val="28"/>
          <w:szCs w:val="28"/>
        </w:rPr>
        <w:t>Проект визируют:</w:t>
      </w: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A51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</w:t>
      </w:r>
      <w:r w:rsidR="00A51A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А.Н.Савченко</w:t>
      </w: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A7187B" w:rsidRDefault="00A7187B" w:rsidP="00A51A82">
      <w:pPr>
        <w:spacing w:line="240" w:lineRule="exact"/>
        <w:ind w:left="-1418" w:right="1415"/>
        <w:jc w:val="both"/>
      </w:pPr>
      <w:r>
        <w:rPr>
          <w:sz w:val="28"/>
          <w:szCs w:val="28"/>
        </w:rPr>
        <w:t>начальник правового</w:t>
      </w: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                            </w:t>
      </w:r>
      <w:r w:rsidR="00A51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И.В.Кельм</w:t>
      </w: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A51A82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</w:t>
      </w:r>
      <w:r w:rsidR="00A51A82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делопроизводства</w:t>
      </w:r>
    </w:p>
    <w:p w:rsidR="00A7187B" w:rsidRDefault="00A7187B" w:rsidP="00A51A82">
      <w:pPr>
        <w:spacing w:line="240" w:lineRule="exact"/>
        <w:ind w:left="-1418" w:right="1415"/>
        <w:jc w:val="both"/>
      </w:pPr>
      <w:r>
        <w:rPr>
          <w:sz w:val="28"/>
          <w:szCs w:val="28"/>
        </w:rPr>
        <w:t>и протокола</w:t>
      </w:r>
      <w:r w:rsidR="00A51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</w:t>
      </w:r>
      <w:r w:rsidR="00881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51A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881888">
        <w:rPr>
          <w:sz w:val="28"/>
          <w:szCs w:val="28"/>
        </w:rPr>
        <w:t>С.А.Воробьев</w:t>
      </w: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A51A82" w:rsidRDefault="00A7187B" w:rsidP="00A51A82">
      <w:pPr>
        <w:spacing w:line="240" w:lineRule="exact"/>
        <w:ind w:left="-1418" w:right="1415"/>
        <w:jc w:val="both"/>
        <w:rPr>
          <w:sz w:val="28"/>
        </w:rPr>
      </w:pPr>
      <w:r w:rsidRPr="00C03344">
        <w:rPr>
          <w:sz w:val="28"/>
        </w:rPr>
        <w:t>главный специалист –</w:t>
      </w:r>
      <w:r w:rsidR="00A51A82">
        <w:rPr>
          <w:sz w:val="28"/>
        </w:rPr>
        <w:t xml:space="preserve"> </w:t>
      </w:r>
      <w:r w:rsidRPr="00C03344">
        <w:rPr>
          <w:sz w:val="28"/>
        </w:rPr>
        <w:t xml:space="preserve">юрисконсульт </w:t>
      </w:r>
    </w:p>
    <w:p w:rsidR="00A7187B" w:rsidRPr="00C03344" w:rsidRDefault="00A7187B" w:rsidP="00A51A82">
      <w:pPr>
        <w:spacing w:line="240" w:lineRule="exact"/>
        <w:ind w:left="-1418" w:right="1415"/>
        <w:jc w:val="both"/>
        <w:rPr>
          <w:sz w:val="28"/>
        </w:rPr>
      </w:pPr>
      <w:r w:rsidRPr="00C03344">
        <w:rPr>
          <w:sz w:val="28"/>
        </w:rPr>
        <w:t>финансового</w:t>
      </w:r>
      <w:r w:rsidR="00A51A82">
        <w:rPr>
          <w:sz w:val="28"/>
        </w:rPr>
        <w:t xml:space="preserve"> </w:t>
      </w:r>
      <w:r w:rsidRPr="00C03344">
        <w:rPr>
          <w:sz w:val="28"/>
        </w:rPr>
        <w:t>управления</w:t>
      </w:r>
      <w:r>
        <w:rPr>
          <w:sz w:val="28"/>
        </w:rPr>
        <w:t xml:space="preserve"> </w:t>
      </w:r>
      <w:r w:rsidRPr="00C03344">
        <w:rPr>
          <w:sz w:val="28"/>
        </w:rPr>
        <w:t xml:space="preserve">администрации                   </w:t>
      </w:r>
      <w:r w:rsidR="00A51A82">
        <w:rPr>
          <w:sz w:val="28"/>
        </w:rPr>
        <w:t xml:space="preserve">  </w:t>
      </w:r>
      <w:r w:rsidRPr="00C03344">
        <w:rPr>
          <w:sz w:val="28"/>
        </w:rPr>
        <w:t xml:space="preserve">               </w:t>
      </w:r>
      <w:r>
        <w:rPr>
          <w:sz w:val="28"/>
        </w:rPr>
        <w:t xml:space="preserve">    </w:t>
      </w:r>
      <w:proofErr w:type="spellStart"/>
      <w:r w:rsidRPr="00C03344">
        <w:rPr>
          <w:sz w:val="28"/>
        </w:rPr>
        <w:t>А.Р.Сагакова</w:t>
      </w:r>
      <w:proofErr w:type="spellEnd"/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87B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  <w:r w:rsidRPr="0090213C">
        <w:rPr>
          <w:sz w:val="28"/>
          <w:szCs w:val="28"/>
        </w:rPr>
        <w:t xml:space="preserve">Проект подготовлен </w:t>
      </w:r>
      <w:bookmarkStart w:id="2" w:name="_Hlk499038308"/>
      <w:r>
        <w:rPr>
          <w:sz w:val="28"/>
          <w:szCs w:val="28"/>
        </w:rPr>
        <w:t xml:space="preserve">финансовым управлением администрации  </w:t>
      </w:r>
    </w:p>
    <w:p w:rsidR="00F64FC7" w:rsidRDefault="00A7187B" w:rsidP="00A51A82">
      <w:pPr>
        <w:spacing w:line="240" w:lineRule="exact"/>
        <w:ind w:left="-1418" w:right="1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2"/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Т.В.Толмачева</w:t>
      </w:r>
      <w:proofErr w:type="spellEnd"/>
    </w:p>
    <w:p w:rsidR="00F64FC7" w:rsidRDefault="00F64FC7" w:rsidP="00F64FC7">
      <w:pPr>
        <w:tabs>
          <w:tab w:val="left" w:pos="1740"/>
        </w:tabs>
        <w:rPr>
          <w:sz w:val="28"/>
          <w:szCs w:val="28"/>
        </w:rPr>
        <w:sectPr w:rsidR="00F64FC7" w:rsidSect="00A51A82">
          <w:headerReference w:type="even" r:id="rId7"/>
          <w:headerReference w:type="first" r:id="rId8"/>
          <w:pgSz w:w="11905" w:h="16838" w:code="9"/>
          <w:pgMar w:top="1418" w:right="567" w:bottom="1134" w:left="1985" w:header="720" w:footer="720" w:gutter="0"/>
          <w:pgNumType w:start="4"/>
          <w:cols w:space="720"/>
          <w:titlePg/>
          <w:docGrid w:linePitch="326"/>
        </w:sectPr>
      </w:pPr>
      <w:r>
        <w:rPr>
          <w:sz w:val="28"/>
          <w:szCs w:val="28"/>
        </w:rPr>
        <w:tab/>
      </w:r>
    </w:p>
    <w:p w:rsidR="00F64FC7" w:rsidRPr="00BF4558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BF4558">
        <w:rPr>
          <w:sz w:val="28"/>
          <w:szCs w:val="28"/>
        </w:rPr>
        <w:lastRenderedPageBreak/>
        <w:t>УТВЕРЖДЕН</w:t>
      </w:r>
    </w:p>
    <w:p w:rsidR="00F64FC7" w:rsidRPr="00857964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64FC7" w:rsidRPr="00857964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64FC7" w:rsidRPr="00857964" w:rsidRDefault="00F64FC7" w:rsidP="00EB68AC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64FC7" w:rsidRPr="00857964" w:rsidRDefault="00F64FC7" w:rsidP="00EB68AC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64FC7" w:rsidRDefault="00786E58" w:rsidP="00EB68AC">
      <w:pPr>
        <w:ind w:left="5245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от 22 октября 2020 г. № 2667</w:t>
      </w:r>
    </w:p>
    <w:p w:rsidR="00F64FC7" w:rsidRDefault="00F64FC7" w:rsidP="00EB68AC">
      <w:pPr>
        <w:jc w:val="center"/>
        <w:rPr>
          <w:bCs/>
          <w:color w:val="333333"/>
          <w:sz w:val="28"/>
          <w:szCs w:val="28"/>
        </w:rPr>
      </w:pPr>
    </w:p>
    <w:p w:rsidR="00EB68AC" w:rsidRDefault="00EB68AC" w:rsidP="00EB68AC">
      <w:pPr>
        <w:jc w:val="center"/>
        <w:rPr>
          <w:bCs/>
          <w:color w:val="333333"/>
          <w:sz w:val="28"/>
          <w:szCs w:val="28"/>
        </w:rPr>
      </w:pPr>
    </w:p>
    <w:p w:rsidR="00F64FC7" w:rsidRDefault="00F64FC7" w:rsidP="00EB68AC">
      <w:pPr>
        <w:jc w:val="center"/>
        <w:rPr>
          <w:bCs/>
          <w:color w:val="333333"/>
          <w:sz w:val="28"/>
          <w:szCs w:val="28"/>
        </w:rPr>
      </w:pPr>
    </w:p>
    <w:p w:rsidR="00F64FC7" w:rsidRPr="00F64FC7" w:rsidRDefault="00F64FC7" w:rsidP="00EB68AC">
      <w:pPr>
        <w:jc w:val="center"/>
        <w:rPr>
          <w:bCs/>
          <w:sz w:val="28"/>
          <w:szCs w:val="28"/>
        </w:rPr>
      </w:pP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ПОРЯДОК</w:t>
      </w:r>
    </w:p>
    <w:p w:rsidR="00F64FC7" w:rsidRPr="00F64FC7" w:rsidRDefault="00F64FC7" w:rsidP="00EB68AC">
      <w:pPr>
        <w:spacing w:line="240" w:lineRule="exact"/>
        <w:jc w:val="center"/>
        <w:rPr>
          <w:sz w:val="28"/>
          <w:szCs w:val="28"/>
        </w:rPr>
      </w:pP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оценки налоговых расходов </w:t>
      </w: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Георгиевского городского округа Ставропольского края</w:t>
      </w:r>
    </w:p>
    <w:p w:rsidR="00F64FC7" w:rsidRPr="00F64FC7" w:rsidRDefault="00F64FC7" w:rsidP="00EB68AC">
      <w:pPr>
        <w:jc w:val="center"/>
        <w:rPr>
          <w:sz w:val="28"/>
          <w:szCs w:val="28"/>
        </w:rPr>
      </w:pPr>
    </w:p>
    <w:p w:rsidR="00F64FC7" w:rsidRPr="00F64FC7" w:rsidRDefault="00F64FC7" w:rsidP="00EB68AC">
      <w:pPr>
        <w:jc w:val="center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 xml:space="preserve">1. Настоящий Порядок определяет процедуру оценки налоговых расходов </w:t>
      </w:r>
      <w:r w:rsidRPr="00F64FC7">
        <w:rPr>
          <w:bCs/>
          <w:sz w:val="28"/>
          <w:szCs w:val="28"/>
        </w:rPr>
        <w:t>Георгиевского городского округа Ставропольского края, правила формирования информации о нормативных, целевых и фискальных характеристиках налоговых расходов Георгиевского городского округа Ставропольского края, а также порядок обобщения результатов оценки эффективности налоговых расходов</w:t>
      </w:r>
      <w:r w:rsidRPr="00F64FC7">
        <w:rPr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Георгиевского городского округа Ставропольского края, осуществляемой кураторами налоговых расходов Георгиевского городского округа Ставропольского края (далее – Георгиевский городской округ).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2. В целях настоящего Порядка применяются следующие понятия и термины: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 xml:space="preserve">налоговые расходы Георгиевского городского округа </w:t>
      </w:r>
      <w:r w:rsidRPr="00F64FC7">
        <w:rPr>
          <w:sz w:val="28"/>
          <w:szCs w:val="28"/>
        </w:rPr>
        <w:t xml:space="preserve">– выпадающие доходы бюджета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sz w:val="28"/>
          <w:szCs w:val="28"/>
        </w:rPr>
        <w:t xml:space="preserve">и (или) целями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, не относящимися к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>куратор налоговых расходов Георгиевского городского округа</w:t>
      </w:r>
      <w:r w:rsidRPr="00F64FC7">
        <w:rPr>
          <w:sz w:val="28"/>
          <w:szCs w:val="28"/>
        </w:rPr>
        <w:t xml:space="preserve"> – орган местного самоуправления</w:t>
      </w:r>
      <w:r w:rsidRPr="00F64FC7">
        <w:rPr>
          <w:bCs/>
          <w:sz w:val="28"/>
          <w:szCs w:val="28"/>
        </w:rPr>
        <w:t xml:space="preserve"> (структурное подразделение администрации) Георгиевского городского округа</w:t>
      </w:r>
      <w:r w:rsidRPr="00F64FC7">
        <w:rPr>
          <w:sz w:val="28"/>
          <w:szCs w:val="28"/>
        </w:rPr>
        <w:t>, ответственный в соответствии с полномочиями, установленными муниципальными правовыми актами</w:t>
      </w:r>
      <w:r w:rsidRPr="00F64FC7">
        <w:rPr>
          <w:bCs/>
          <w:sz w:val="28"/>
          <w:szCs w:val="28"/>
        </w:rPr>
        <w:t xml:space="preserve"> Георгиевского городского округа</w:t>
      </w:r>
      <w:r w:rsidRPr="00F64FC7">
        <w:rPr>
          <w:sz w:val="28"/>
          <w:szCs w:val="28"/>
        </w:rPr>
        <w:t xml:space="preserve">, за достижение соответствующих налоговому расходу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целей муниципальных программ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и (или) целей социально-экономического развития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, не относящихся к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b/>
          <w:sz w:val="28"/>
          <w:szCs w:val="28"/>
        </w:rPr>
      </w:pPr>
      <w:r w:rsidRPr="00F64FC7">
        <w:rPr>
          <w:bCs/>
          <w:sz w:val="28"/>
          <w:szCs w:val="28"/>
        </w:rPr>
        <w:lastRenderedPageBreak/>
        <w:t>нормативные характеристики налоговых расходов Георгиевского городского округа</w:t>
      </w:r>
      <w:r w:rsidRPr="00F64FC7">
        <w:rPr>
          <w:sz w:val="28"/>
          <w:szCs w:val="28"/>
        </w:rPr>
        <w:t xml:space="preserve"> – сведения о положениях муниципальных правовых актов </w:t>
      </w:r>
      <w:r w:rsidRPr="00F64FC7">
        <w:rPr>
          <w:bCs/>
          <w:sz w:val="28"/>
          <w:szCs w:val="28"/>
        </w:rPr>
        <w:t>Георгиевского городского округа, которыми предусматриваются налоговые льготы,</w:t>
      </w:r>
      <w:r w:rsidRPr="00F64FC7">
        <w:rPr>
          <w:sz w:val="28"/>
          <w:szCs w:val="28"/>
        </w:rPr>
        <w:t xml:space="preserve">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установлены льготы, а также иные характеристики, предусмотренные муниципальными правовыми актами </w:t>
      </w:r>
      <w:r w:rsidRPr="00F64FC7">
        <w:rPr>
          <w:bCs/>
          <w:sz w:val="28"/>
          <w:szCs w:val="28"/>
        </w:rPr>
        <w:t>Георгиевского городского округа;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плательщики – плательщики налогов;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>оценка налоговых расходов Георгиевского городского округа</w:t>
      </w:r>
      <w:r w:rsidRPr="00F64FC7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Pr="00F64FC7">
        <w:rPr>
          <w:bCs/>
          <w:sz w:val="28"/>
          <w:szCs w:val="28"/>
        </w:rPr>
        <w:t>Георгиевского городского округа, обусловленных льготами, предоставленными плательщикам, а также по оценке эффективности налоговых расходов 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оценка объемов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– определение объемов выпадающих доходов бюджета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, обусловленных льготами, предоставленными плательщикам; 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оценка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;   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>перечень налоговых расходов</w:t>
      </w:r>
      <w:r w:rsidRPr="00F64FC7">
        <w:rPr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– документ, содержащий сведения о распределении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в соответствии с целями муниципальных программ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и (или) целями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, не относящимися к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, а также о кураторах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, формируемый в порядке, установленном администрацией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>социальные налоговые расходы</w:t>
      </w:r>
      <w:r w:rsidRPr="00F64FC7">
        <w:rPr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sz w:val="28"/>
          <w:szCs w:val="28"/>
        </w:rPr>
        <w:t>– целевая категория налоговых расходов</w:t>
      </w:r>
      <w:r w:rsidRPr="00F64FC7">
        <w:rPr>
          <w:bCs/>
          <w:sz w:val="28"/>
          <w:szCs w:val="28"/>
        </w:rPr>
        <w:t xml:space="preserve"> Георгиевского городского округа</w:t>
      </w:r>
      <w:r w:rsidRPr="00F64FC7">
        <w:rPr>
          <w:sz w:val="28"/>
          <w:szCs w:val="28"/>
        </w:rPr>
        <w:t>, обусловленных необходимостью обеспечения социальной защиты (поддержки) населения</w:t>
      </w:r>
      <w:r w:rsidRPr="00F64FC7">
        <w:rPr>
          <w:bCs/>
          <w:sz w:val="28"/>
          <w:szCs w:val="28"/>
        </w:rPr>
        <w:t xml:space="preserve"> 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>стимулирующие налоговые расходы</w:t>
      </w:r>
      <w:r w:rsidRPr="00F64FC7">
        <w:rPr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b/>
          <w:sz w:val="28"/>
          <w:szCs w:val="28"/>
        </w:rPr>
        <w:t>–</w:t>
      </w:r>
      <w:r w:rsidRPr="00F64FC7">
        <w:rPr>
          <w:sz w:val="28"/>
          <w:szCs w:val="28"/>
        </w:rPr>
        <w:t xml:space="preserve"> целевая категория налоговых расходов</w:t>
      </w:r>
      <w:r w:rsidRPr="00F64FC7">
        <w:rPr>
          <w:bCs/>
          <w:sz w:val="28"/>
          <w:szCs w:val="28"/>
        </w:rPr>
        <w:t xml:space="preserve"> Георгиевского городского округа</w:t>
      </w:r>
      <w:r w:rsidRPr="00F64FC7">
        <w:rPr>
          <w:sz w:val="28"/>
          <w:szCs w:val="28"/>
        </w:rPr>
        <w:t xml:space="preserve">, предоставляемых в целях стимулирования экономической активности субъектов предпринимательской деятельности и последующего увеличения объема доходов бюджета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>технические налоговые расходы</w:t>
      </w:r>
      <w:r w:rsidRPr="00F64FC7">
        <w:rPr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–   целевая категория налоговых расходов</w:t>
      </w:r>
      <w:r w:rsidRPr="00F64FC7">
        <w:rPr>
          <w:bCs/>
          <w:sz w:val="28"/>
          <w:szCs w:val="28"/>
        </w:rPr>
        <w:t xml:space="preserve"> Георгиевского городского округа</w:t>
      </w:r>
      <w:r w:rsidRPr="00F64FC7">
        <w:rPr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b/>
          <w:sz w:val="28"/>
          <w:szCs w:val="28"/>
        </w:rPr>
      </w:pPr>
      <w:r w:rsidRPr="00F64FC7">
        <w:rPr>
          <w:bCs/>
          <w:sz w:val="28"/>
          <w:szCs w:val="28"/>
        </w:rPr>
        <w:lastRenderedPageBreak/>
        <w:t>фискальные характеристики налоговых расходов</w:t>
      </w:r>
      <w:r w:rsidRPr="00F64FC7">
        <w:rPr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bCs/>
          <w:sz w:val="28"/>
          <w:szCs w:val="28"/>
        </w:rPr>
        <w:t xml:space="preserve">целевые характеристики налоговых расходов Георгиевского городского округа </w:t>
      </w:r>
      <w:r w:rsidRPr="00F64FC7">
        <w:rPr>
          <w:sz w:val="28"/>
          <w:szCs w:val="28"/>
        </w:rPr>
        <w:t>–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Георгиевского городского округа.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3. Оценка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осуществляется кураторами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в соответствии с перечнем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на основе информации налогового органа о фискальных характеристиках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за отчетный финансовый год, а также информации о стимулирующих налоговых расходах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за 6 лет, предшествующих отчетному финансовому году.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4. В целях проведения оценки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1) финансовое управление администрации Георгиевского городского округа (далее – уполномоченный орган) до 01 февраля текущего финансового года направляет в налоговый орган сведения о категориях плательщиков с указанием обусловливающих соответствующие налоговые расходы муниципальных правовых актов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, в том числе действовавших в отчетном финансовом году и в году, предшествующем отчетному финансовому году,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(далее – общие требования к оценке налоговых расходов);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2) налоговый орган до 01 апреля текущего финансового года направляет в уполномоченный орган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информацию о количестве плательщиков, воспользовавшихся льготами;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>информацию о суммах выпадающих доходов бюджета</w:t>
      </w:r>
      <w:r w:rsidRPr="00F64FC7">
        <w:rPr>
          <w:bCs/>
          <w:sz w:val="28"/>
          <w:szCs w:val="28"/>
        </w:rPr>
        <w:t xml:space="preserve"> Георгиевского городского округа по каждому налоговому расходу Георгиевского городского округа;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lastRenderedPageBreak/>
        <w:t>информацию об объемах налогов, задекларированных для уплаты плательщиками в бюджет Георгиевского городского округа по каждому налоговому расходу Георгиевского городского округа, в отношении стимулирующих налоговых расходов Георгиевского городского округа;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3) уполномоченный орган до 01 июня текущего финансового года представляет в министерство финансов Ставропольского края данные для оценки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округа, предусмотренные приложением к общим требованиям к оценке налоговых расходов;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4) уполномоченный орган до 15 апреля текущего финансового года направляет кураторам налоговых расходов </w:t>
      </w:r>
      <w:r w:rsidRPr="00F64FC7">
        <w:rPr>
          <w:bCs/>
          <w:sz w:val="28"/>
          <w:szCs w:val="28"/>
        </w:rPr>
        <w:t>Георгиевского городского округа сведения, указанные в подпункте «2» настоящего пункта;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>5) налоговый орган до 15 июля текущего финансового года направляет в уполномоченный орган сведения об объеме льгот за отчетный финансовый год, а также стимулирующим налоговым расходам</w:t>
      </w:r>
      <w:r w:rsidRPr="00F64FC7">
        <w:rPr>
          <w:bCs/>
          <w:sz w:val="28"/>
          <w:szCs w:val="28"/>
        </w:rPr>
        <w:t xml:space="preserve"> Георгиевского городского округа – сведения о налогах, задекларированных для уплаты плательщиками, имеющими право на льготы, в отчетном финансовом году;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6) уполномоченный орган до 20 июля текущего финансового года направляет кураторам налоговых расходов Георгиевского городского округа сведения, указанные в подпункте «5» настоящего пункта;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7) уполномоченный орган до 20 августа текущего финансового года при необходимости представляет в министерство финансов Ставропольского края уточненную информацию, предусмотренную приложением к общим требованиям к оценке налоговых расходов. 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 xml:space="preserve">5. Оценка эффективности налоговых расходов </w:t>
      </w:r>
      <w:r w:rsidRPr="00F64FC7">
        <w:rPr>
          <w:bCs/>
          <w:sz w:val="28"/>
          <w:szCs w:val="28"/>
        </w:rPr>
        <w:t xml:space="preserve">Георгиевского городского округа осуществляется кураторами </w:t>
      </w:r>
      <w:r w:rsidRPr="00F64FC7">
        <w:rPr>
          <w:sz w:val="28"/>
          <w:szCs w:val="28"/>
        </w:rPr>
        <w:t xml:space="preserve">налоговых расходов </w:t>
      </w:r>
      <w:r w:rsidRPr="00F64FC7">
        <w:rPr>
          <w:bCs/>
          <w:sz w:val="28"/>
          <w:szCs w:val="28"/>
        </w:rPr>
        <w:t>Георгиевского городского округа и включает в себя: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 xml:space="preserve">1) оценку целесообразности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2) оценку результативности</w:t>
      </w:r>
      <w:r w:rsidRPr="00F64FC7">
        <w:rPr>
          <w:sz w:val="28"/>
          <w:szCs w:val="28"/>
        </w:rPr>
        <w:t xml:space="preserve"> налоговых расходов </w:t>
      </w:r>
      <w:r w:rsidRPr="00F64FC7">
        <w:rPr>
          <w:bCs/>
          <w:sz w:val="28"/>
          <w:szCs w:val="28"/>
        </w:rPr>
        <w:t>Георгиевского городского округа.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6. Критериями целесообразности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являются: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1) соответствие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целям муниципальных программ и (или) целям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относящимся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lastRenderedPageBreak/>
        <w:t>7. В случае несоответствия налоговых расходов Георгиевского городского округа хотя бы одному из критериев, указанных в пункте 6 настоящего Порядка, куратор налоговых расходов Георгиевского городского округа представляет в уполномоченный орган предложения о сохранении (уточнении, отмене) льгот для плательщиков.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8. В качестве критерия результативности налоговых расходов Георгиевского городского округа кураторами налоговых расходов Георгиевского городского округа используется как минимум один показатель (индикатор) достижения целей </w:t>
      </w:r>
      <w:r w:rsidRPr="00F64FC7">
        <w:rPr>
          <w:sz w:val="28"/>
          <w:szCs w:val="28"/>
        </w:rPr>
        <w:t xml:space="preserve">муниципальных программ 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городского округа, либо иной показатель (индикатор), на значение которого оказывают влияние налоговые расходы Георгиевского городского округа. 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Pr="00F64FC7">
        <w:rPr>
          <w:sz w:val="28"/>
          <w:szCs w:val="28"/>
        </w:rPr>
        <w:t xml:space="preserve">муниципальных программ 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b/>
          <w:bCs/>
          <w:sz w:val="28"/>
          <w:szCs w:val="28"/>
        </w:rPr>
      </w:pPr>
      <w:r w:rsidRPr="00F64FC7">
        <w:rPr>
          <w:bCs/>
          <w:sz w:val="28"/>
          <w:szCs w:val="28"/>
        </w:rPr>
        <w:t>9.</w:t>
      </w:r>
      <w:r w:rsidRPr="00F64FC7">
        <w:rPr>
          <w:b/>
          <w:bCs/>
          <w:sz w:val="28"/>
          <w:szCs w:val="28"/>
        </w:rPr>
        <w:t xml:space="preserve"> </w:t>
      </w:r>
      <w:r w:rsidRPr="00F64FC7">
        <w:rPr>
          <w:sz w:val="28"/>
          <w:szCs w:val="28"/>
        </w:rPr>
        <w:t xml:space="preserve">Оценка результативности </w:t>
      </w:r>
      <w:r w:rsidRPr="00F64FC7">
        <w:rPr>
          <w:bCs/>
          <w:sz w:val="28"/>
          <w:szCs w:val="28"/>
        </w:rPr>
        <w:t>налоговых расходов Георгиевского городского округа</w:t>
      </w:r>
      <w:r w:rsidRPr="00F64FC7">
        <w:rPr>
          <w:sz w:val="28"/>
          <w:szCs w:val="28"/>
        </w:rPr>
        <w:t xml:space="preserve"> включает оценку бюджетной эффективности </w:t>
      </w:r>
      <w:r w:rsidRPr="00F64FC7">
        <w:rPr>
          <w:bCs/>
          <w:sz w:val="28"/>
          <w:szCs w:val="28"/>
        </w:rPr>
        <w:t>налоговых расходов Георгиевского городского округа.</w:t>
      </w:r>
      <w:r w:rsidRPr="00F64FC7">
        <w:rPr>
          <w:b/>
          <w:bCs/>
          <w:sz w:val="28"/>
          <w:szCs w:val="28"/>
        </w:rPr>
        <w:t xml:space="preserve"> </w:t>
      </w:r>
    </w:p>
    <w:p w:rsidR="00F64FC7" w:rsidRPr="00F64FC7" w:rsidRDefault="00F64FC7" w:rsidP="00F64FC7">
      <w:pPr>
        <w:ind w:firstLine="709"/>
        <w:jc w:val="both"/>
        <w:rPr>
          <w:b/>
          <w:bCs/>
          <w:sz w:val="28"/>
          <w:szCs w:val="28"/>
        </w:rPr>
      </w:pPr>
    </w:p>
    <w:p w:rsidR="00F64FC7" w:rsidRPr="00F64FC7" w:rsidRDefault="00F64FC7" w:rsidP="00F64FC7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В целях оценки бюджетной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кураторами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 (далее – сравнительный анализ), а также оценка совокупного бюджетного эффекта (самоокупаемости) стимулирующих налоговых расходов Георгиевского городского округа.</w:t>
      </w:r>
    </w:p>
    <w:p w:rsidR="00F64FC7" w:rsidRPr="00F64FC7" w:rsidRDefault="00F64FC7" w:rsidP="00F64FC7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11. Сравнительный анализ включает в себя сравнение объемов расходов бюджета </w:t>
      </w:r>
      <w:r w:rsidRPr="00F64FC7">
        <w:rPr>
          <w:bCs/>
          <w:sz w:val="28"/>
          <w:szCs w:val="28"/>
        </w:rPr>
        <w:t xml:space="preserve">Георгиевского городского округа в случае применения </w:t>
      </w:r>
      <w:r w:rsidRPr="00F64FC7">
        <w:rPr>
          <w:sz w:val="28"/>
          <w:szCs w:val="28"/>
        </w:rPr>
        <w:t xml:space="preserve">альтернативных механизмов достижения целей муниципальной программы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городского округа, и </w:t>
      </w:r>
      <w:r w:rsidRPr="00F64FC7">
        <w:rPr>
          <w:sz w:val="28"/>
          <w:szCs w:val="28"/>
        </w:rPr>
        <w:t xml:space="preserve">объёмов предоставленных льгот посредством определения куратором налоговых расходов </w:t>
      </w:r>
      <w:r w:rsidRPr="00F64FC7">
        <w:rPr>
          <w:bCs/>
          <w:sz w:val="28"/>
          <w:szCs w:val="28"/>
        </w:rPr>
        <w:t xml:space="preserve">Георгиевского городского </w:t>
      </w:r>
      <w:r w:rsidRPr="00F64FC7">
        <w:rPr>
          <w:bCs/>
          <w:sz w:val="28"/>
          <w:szCs w:val="28"/>
        </w:rPr>
        <w:lastRenderedPageBreak/>
        <w:t xml:space="preserve">округа прироста значения показателя (индикатора) достижения целей </w:t>
      </w:r>
      <w:r w:rsidRPr="00F64FC7">
        <w:rPr>
          <w:sz w:val="28"/>
          <w:szCs w:val="28"/>
        </w:rPr>
        <w:t xml:space="preserve">муниципальной программы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, на 1 рубль налоговых расходов</w:t>
      </w:r>
      <w:r w:rsidRPr="00F64FC7">
        <w:rPr>
          <w:bCs/>
          <w:sz w:val="28"/>
          <w:szCs w:val="28"/>
        </w:rPr>
        <w:t xml:space="preserve"> Георгиевского городского округа</w:t>
      </w:r>
      <w:r w:rsidRPr="00F64FC7">
        <w:rPr>
          <w:sz w:val="28"/>
          <w:szCs w:val="28"/>
        </w:rPr>
        <w:t xml:space="preserve"> и на 1 рубль расходов бюджета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для достижения того же значения показателя (индикатора) в случае применения альтернативных механизмов.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округа,</w:t>
      </w:r>
      <w:r w:rsidRPr="00F64FC7">
        <w:rPr>
          <w:sz w:val="28"/>
          <w:szCs w:val="28"/>
        </w:rPr>
        <w:t xml:space="preserve"> учитываются: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предоставление муниципальных гарантий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12. В целях оценки бюджетной эффективности стимулирующих налоговых расходов Георгиевского городского округа одновременно со сравнительным анализом куратором налоговых расходов Георгиевского городского округа определяется оценка совокупного бюджетного эффекта (самоокупаемости) указанных налоговых расходов в соответствии с пунктом 13 настоящего Порядка. Значение оценки совокупного бюджетного эффекта (самоокупаемости) стимулирующих налоговых расходов Георгиевского городского округа является одним из критериев результативности налоговых расходов Георгиевского городского округа.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куратором налоговых расходов</w:t>
      </w:r>
      <w:r w:rsidRPr="00F64FC7">
        <w:rPr>
          <w:bCs/>
          <w:sz w:val="28"/>
          <w:szCs w:val="28"/>
        </w:rPr>
        <w:t xml:space="preserve"> Георгиевского городского округа отдельно по каждому налоговому расходу Георгиевского городского округа.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Георгиевского городского округа определяется в целом для указанной категории плательщиков.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13. Оценка совокупного бюджетного эффекта (самоокупаемости) стимулирующих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r w:rsidRPr="00F64FC7">
        <w:rPr>
          <w:sz w:val="28"/>
          <w:szCs w:val="28"/>
        </w:rPr>
        <w:lastRenderedPageBreak/>
        <w:t xml:space="preserve">лет, </w:t>
      </w:r>
      <w:r w:rsidRPr="00F64FC7">
        <w:rPr>
          <w:bCs/>
          <w:sz w:val="28"/>
          <w:szCs w:val="28"/>
        </w:rPr>
        <w:t>–</w:t>
      </w:r>
      <w:r w:rsidRPr="00F64FC7">
        <w:rPr>
          <w:sz w:val="28"/>
          <w:szCs w:val="28"/>
        </w:rPr>
        <w:t xml:space="preserve"> на день проведения оценки эффективности налогового расхода по следующей формуле: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rFonts w:ascii="Cambria Math" w:hAnsi="Cambria Math" w:cs="Cambria Math"/>
          <w:noProof/>
          <w:position w:val="-39"/>
        </w:rPr>
        <w:drawing>
          <wp:inline distT="0" distB="0" distL="0" distR="0" wp14:anchorId="59055CE1" wp14:editId="3DC8F73F">
            <wp:extent cx="303847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C7">
        <w:rPr>
          <w:sz w:val="28"/>
          <w:szCs w:val="28"/>
        </w:rPr>
        <w:t>где: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32"/>
          <w:szCs w:val="32"/>
          <w:lang w:val="en-US"/>
        </w:rPr>
        <w:t>E</w:t>
      </w:r>
      <w:r w:rsidRPr="00F64FC7">
        <w:rPr>
          <w:sz w:val="32"/>
          <w:szCs w:val="32"/>
        </w:rPr>
        <w:t xml:space="preserve"> – </w:t>
      </w:r>
      <w:proofErr w:type="gramStart"/>
      <w:r w:rsidRPr="00F64FC7">
        <w:rPr>
          <w:sz w:val="28"/>
          <w:szCs w:val="28"/>
        </w:rPr>
        <w:t>оценка</w:t>
      </w:r>
      <w:proofErr w:type="gramEnd"/>
      <w:r w:rsidRPr="00F64FC7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b/>
          <w:sz w:val="40"/>
          <w:szCs w:val="40"/>
        </w:rPr>
      </w:pPr>
      <w:r w:rsidRPr="00F64FC7">
        <w:rPr>
          <w:b/>
          <w:sz w:val="40"/>
          <w:szCs w:val="40"/>
        </w:rPr>
        <w:t xml:space="preserve">∑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 xml:space="preserve"> знак суммирования;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i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 xml:space="preserve"> порядковый номер i-</w:t>
      </w:r>
      <w:proofErr w:type="spellStart"/>
      <w:r w:rsidRPr="00F64FC7">
        <w:rPr>
          <w:sz w:val="28"/>
          <w:szCs w:val="28"/>
        </w:rPr>
        <w:t>го</w:t>
      </w:r>
      <w:proofErr w:type="spellEnd"/>
      <w:r w:rsidRPr="00F64FC7">
        <w:rPr>
          <w:sz w:val="28"/>
          <w:szCs w:val="28"/>
        </w:rPr>
        <w:t xml:space="preserve"> года, имеющий значение от 1 до 5;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proofErr w:type="spellStart"/>
      <w:r w:rsidRPr="00F64FC7">
        <w:rPr>
          <w:sz w:val="28"/>
          <w:szCs w:val="28"/>
        </w:rPr>
        <w:t>m</w:t>
      </w:r>
      <w:r w:rsidRPr="00F64FC7">
        <w:rPr>
          <w:sz w:val="28"/>
          <w:szCs w:val="28"/>
          <w:vertAlign w:val="subscript"/>
        </w:rPr>
        <w:t>i</w:t>
      </w:r>
      <w:proofErr w:type="spellEnd"/>
      <w:r w:rsidRPr="00F64FC7">
        <w:rPr>
          <w:sz w:val="28"/>
          <w:szCs w:val="28"/>
        </w:rPr>
        <w:t xml:space="preserve">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> количество плательщиков, воспользовавшихся льготой в i-м году;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j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 xml:space="preserve"> порядковый номер плательщика, имеющий значение от 1 до m;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proofErr w:type="spellStart"/>
      <w:r w:rsidRPr="00F64FC7">
        <w:rPr>
          <w:sz w:val="28"/>
          <w:szCs w:val="28"/>
        </w:rPr>
        <w:t>N</w:t>
      </w:r>
      <w:r w:rsidRPr="00F64FC7">
        <w:rPr>
          <w:sz w:val="28"/>
          <w:szCs w:val="28"/>
          <w:vertAlign w:val="subscript"/>
        </w:rPr>
        <w:t>ij</w:t>
      </w:r>
      <w:proofErr w:type="spellEnd"/>
      <w:r w:rsidRPr="00F64FC7">
        <w:rPr>
          <w:sz w:val="28"/>
          <w:szCs w:val="28"/>
        </w:rPr>
        <w:t xml:space="preserve">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 xml:space="preserve"> объем налогов, задекларированных для уплаты в бюджет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плательщиком в i-ом году. В случае если на день проведения оценки совокупного бюджетного эффекта (самоокупаемости) стимулирующих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подлежащих уплате в бюджет </w:t>
      </w:r>
      <w:r w:rsidRPr="00F64FC7">
        <w:rPr>
          <w:bCs/>
          <w:sz w:val="28"/>
          <w:szCs w:val="28"/>
        </w:rPr>
        <w:t>Георгиевского городского округа,</w:t>
      </w:r>
      <w:r w:rsidRPr="00F64FC7">
        <w:rPr>
          <w:sz w:val="28"/>
          <w:szCs w:val="28"/>
        </w:rPr>
        <w:t xml:space="preserve"> оцениваются (прогнозируются) по данным куратора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>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B</w:t>
      </w:r>
      <w:r w:rsidRPr="00F64FC7">
        <w:rPr>
          <w:sz w:val="28"/>
          <w:szCs w:val="28"/>
          <w:vertAlign w:val="subscript"/>
        </w:rPr>
        <w:t>0j</w:t>
      </w:r>
      <w:r w:rsidRPr="00F64FC7">
        <w:rPr>
          <w:sz w:val="28"/>
          <w:szCs w:val="28"/>
        </w:rPr>
        <w:t xml:space="preserve">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 xml:space="preserve"> базовый объем налогов, задекларированных для уплаты в бюджет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j-м плательщиком в базовом году;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proofErr w:type="spellStart"/>
      <w:r w:rsidRPr="00F64FC7">
        <w:rPr>
          <w:sz w:val="28"/>
          <w:szCs w:val="28"/>
        </w:rPr>
        <w:t>g</w:t>
      </w:r>
      <w:r w:rsidRPr="00F64FC7">
        <w:rPr>
          <w:sz w:val="28"/>
          <w:szCs w:val="28"/>
          <w:vertAlign w:val="subscript"/>
        </w:rPr>
        <w:t>i</w:t>
      </w:r>
      <w:proofErr w:type="spellEnd"/>
      <w:r w:rsidRPr="00F64FC7">
        <w:rPr>
          <w:sz w:val="28"/>
          <w:szCs w:val="28"/>
        </w:rPr>
        <w:t xml:space="preserve">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 xml:space="preserve"> номинальный темп прироста налоговых доходов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в i-ом году по отношению к показателям базового года, рассчитываемый в соответствии с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r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> расчетная стоимость среднесрочных рыночных заимствований Георгиевского городского округа.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14. Базовый объем налогов, задекларированных для уплаты в бюджет Георгиевского городского округа j-м плательщиком в базовом году, рассчитывается по следующей формуле:</w:t>
      </w:r>
    </w:p>
    <w:p w:rsidR="00F64FC7" w:rsidRPr="00F64FC7" w:rsidRDefault="00F64FC7" w:rsidP="00F64FC7">
      <w:pPr>
        <w:ind w:firstLine="709"/>
        <w:jc w:val="both"/>
        <w:rPr>
          <w:sz w:val="44"/>
          <w:szCs w:val="44"/>
          <w:vertAlign w:val="subscript"/>
        </w:rPr>
      </w:pPr>
      <w:r w:rsidRPr="00F64FC7">
        <w:rPr>
          <w:sz w:val="28"/>
          <w:szCs w:val="28"/>
        </w:rPr>
        <w:t>B</w:t>
      </w:r>
      <w:r w:rsidRPr="00F64FC7">
        <w:rPr>
          <w:sz w:val="28"/>
          <w:szCs w:val="28"/>
          <w:vertAlign w:val="subscript"/>
        </w:rPr>
        <w:t xml:space="preserve">0j  </w:t>
      </w:r>
      <w:r w:rsidRPr="00F64FC7">
        <w:rPr>
          <w:sz w:val="40"/>
          <w:szCs w:val="40"/>
          <w:vertAlign w:val="subscript"/>
        </w:rPr>
        <w:t>=</w:t>
      </w:r>
      <w:r w:rsidRPr="00F64FC7">
        <w:rPr>
          <w:sz w:val="32"/>
          <w:szCs w:val="32"/>
          <w:vertAlign w:val="subscript"/>
        </w:rPr>
        <w:t xml:space="preserve"> </w:t>
      </w:r>
      <w:r w:rsidRPr="00F64FC7">
        <w:rPr>
          <w:sz w:val="28"/>
          <w:szCs w:val="28"/>
          <w:vertAlign w:val="subscript"/>
        </w:rPr>
        <w:t xml:space="preserve"> </w:t>
      </w:r>
      <w:r w:rsidRPr="00F64FC7">
        <w:rPr>
          <w:sz w:val="28"/>
          <w:szCs w:val="28"/>
        </w:rPr>
        <w:t>N</w:t>
      </w:r>
      <w:r w:rsidRPr="00F64FC7">
        <w:rPr>
          <w:sz w:val="28"/>
          <w:szCs w:val="28"/>
          <w:vertAlign w:val="subscript"/>
        </w:rPr>
        <w:t xml:space="preserve">0j  </w:t>
      </w:r>
      <w:r w:rsidRPr="00F64FC7">
        <w:rPr>
          <w:sz w:val="40"/>
          <w:szCs w:val="40"/>
          <w:vertAlign w:val="subscript"/>
        </w:rPr>
        <w:t xml:space="preserve">+ </w:t>
      </w:r>
      <w:r w:rsidRPr="00F64FC7">
        <w:rPr>
          <w:sz w:val="28"/>
          <w:szCs w:val="28"/>
          <w:vertAlign w:val="subscript"/>
        </w:rPr>
        <w:t xml:space="preserve"> </w:t>
      </w:r>
      <w:r w:rsidRPr="00F64FC7">
        <w:rPr>
          <w:sz w:val="28"/>
          <w:szCs w:val="28"/>
        </w:rPr>
        <w:t>L</w:t>
      </w:r>
      <w:r w:rsidRPr="00F64FC7">
        <w:rPr>
          <w:sz w:val="28"/>
          <w:szCs w:val="28"/>
          <w:vertAlign w:val="subscript"/>
        </w:rPr>
        <w:t>0j</w:t>
      </w:r>
      <w:r w:rsidRPr="00F64FC7">
        <w:rPr>
          <w:sz w:val="40"/>
          <w:szCs w:val="40"/>
          <w:vertAlign w:val="subscript"/>
        </w:rPr>
        <w:t xml:space="preserve">, </w:t>
      </w:r>
      <w:r w:rsidRPr="00F64FC7">
        <w:rPr>
          <w:sz w:val="28"/>
          <w:szCs w:val="28"/>
          <w:vertAlign w:val="subscript"/>
        </w:rPr>
        <w:t xml:space="preserve"> </w:t>
      </w:r>
      <w:r w:rsidRPr="00F64FC7">
        <w:rPr>
          <w:sz w:val="44"/>
          <w:szCs w:val="44"/>
          <w:vertAlign w:val="subscript"/>
        </w:rPr>
        <w:t>где:</w:t>
      </w:r>
    </w:p>
    <w:p w:rsidR="00F64FC7" w:rsidRPr="00F64FC7" w:rsidRDefault="00F64FC7" w:rsidP="00F64FC7">
      <w:pPr>
        <w:ind w:firstLine="709"/>
        <w:jc w:val="both"/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B</w:t>
      </w:r>
      <w:r w:rsidRPr="00F64FC7">
        <w:rPr>
          <w:sz w:val="28"/>
          <w:szCs w:val="28"/>
          <w:vertAlign w:val="subscript"/>
        </w:rPr>
        <w:t>0j</w:t>
      </w:r>
      <w:r w:rsidRPr="00F64FC7">
        <w:rPr>
          <w:sz w:val="28"/>
          <w:szCs w:val="28"/>
        </w:rPr>
        <w:t xml:space="preserve">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 xml:space="preserve"> базовый объем налогов, задекларированных для уплаты в бюджет Георгиевского городского округа j-м плательщиком в базовом году;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N</w:t>
      </w:r>
      <w:r w:rsidRPr="00F64FC7">
        <w:rPr>
          <w:sz w:val="28"/>
          <w:szCs w:val="28"/>
          <w:vertAlign w:val="subscript"/>
        </w:rPr>
        <w:t>0j</w:t>
      </w:r>
      <w:r w:rsidRPr="00F64FC7">
        <w:rPr>
          <w:sz w:val="28"/>
          <w:szCs w:val="28"/>
        </w:rPr>
        <w:t xml:space="preserve">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> объем налогов, задекларированных для уплаты в бюджет Георгиевского городского округа j-м плательщиком в базовом году;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L</w:t>
      </w:r>
      <w:r w:rsidRPr="00F64FC7">
        <w:rPr>
          <w:sz w:val="28"/>
          <w:szCs w:val="28"/>
          <w:vertAlign w:val="subscript"/>
        </w:rPr>
        <w:t>0j</w:t>
      </w:r>
      <w:r w:rsidRPr="00F64FC7">
        <w:rPr>
          <w:sz w:val="28"/>
          <w:szCs w:val="28"/>
        </w:rPr>
        <w:t xml:space="preserve">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> объем льгот, предоставленных j-</w:t>
      </w:r>
      <w:proofErr w:type="spellStart"/>
      <w:r w:rsidRPr="00F64FC7">
        <w:rPr>
          <w:sz w:val="28"/>
          <w:szCs w:val="28"/>
        </w:rPr>
        <w:t>му</w:t>
      </w:r>
      <w:proofErr w:type="spellEnd"/>
      <w:r w:rsidRPr="00F64FC7">
        <w:rPr>
          <w:sz w:val="28"/>
          <w:szCs w:val="28"/>
        </w:rPr>
        <w:t xml:space="preserve"> плательщику в базовом году.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lastRenderedPageBreak/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15. Расчетная стоимость среднесрочных рыночных заимствований Георгиевского городского округа рассчитывается по следующей формуле: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  <w:lang w:val="en-US"/>
        </w:rPr>
        <w:t>r</w:t>
      </w:r>
      <w:r w:rsidRPr="00F64FC7">
        <w:rPr>
          <w:sz w:val="28"/>
          <w:szCs w:val="28"/>
        </w:rPr>
        <w:t xml:space="preserve"> = </w:t>
      </w:r>
      <w:proofErr w:type="spellStart"/>
      <w:r w:rsidRPr="00F64FC7">
        <w:rPr>
          <w:sz w:val="28"/>
          <w:szCs w:val="28"/>
          <w:lang w:val="en-US"/>
        </w:rPr>
        <w:t>i</w:t>
      </w:r>
      <w:proofErr w:type="spellEnd"/>
      <w:r w:rsidRPr="00F64FC7">
        <w:rPr>
          <w:sz w:val="16"/>
          <w:szCs w:val="28"/>
        </w:rPr>
        <w:t>инф</w:t>
      </w:r>
      <w:r w:rsidRPr="00F64FC7">
        <w:rPr>
          <w:sz w:val="28"/>
          <w:szCs w:val="28"/>
        </w:rPr>
        <w:t xml:space="preserve"> + </w:t>
      </w:r>
      <w:r w:rsidRPr="00F64FC7">
        <w:rPr>
          <w:sz w:val="28"/>
          <w:szCs w:val="28"/>
          <w:lang w:val="en-US"/>
        </w:rPr>
        <w:t>p</w:t>
      </w:r>
      <w:r w:rsidRPr="00F64FC7">
        <w:rPr>
          <w:sz w:val="28"/>
          <w:szCs w:val="28"/>
        </w:rPr>
        <w:t xml:space="preserve"> + </w:t>
      </w:r>
      <w:r w:rsidRPr="00F64FC7">
        <w:rPr>
          <w:sz w:val="28"/>
          <w:szCs w:val="28"/>
          <w:lang w:val="en-US"/>
        </w:rPr>
        <w:t>c</w:t>
      </w:r>
      <w:r w:rsidRPr="00F64FC7">
        <w:rPr>
          <w:sz w:val="28"/>
          <w:szCs w:val="28"/>
        </w:rPr>
        <w:t>, где: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r </w:t>
      </w:r>
      <w:r w:rsidRPr="00F64FC7">
        <w:rPr>
          <w:sz w:val="32"/>
          <w:szCs w:val="32"/>
        </w:rPr>
        <w:t>–</w:t>
      </w:r>
      <w:r w:rsidRPr="00F64FC7">
        <w:rPr>
          <w:sz w:val="28"/>
          <w:szCs w:val="28"/>
        </w:rPr>
        <w:t> расчетная стоимость среднесрочных рыночных заимствований Георгиевского городского округа;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F64FC7">
        <w:rPr>
          <w:sz w:val="28"/>
          <w:szCs w:val="28"/>
          <w:lang w:val="en-US"/>
        </w:rPr>
        <w:t>i</w:t>
      </w:r>
      <w:proofErr w:type="spellEnd"/>
      <w:r w:rsidRPr="00F64FC7">
        <w:rPr>
          <w:sz w:val="16"/>
          <w:szCs w:val="28"/>
        </w:rPr>
        <w:t>инф</w:t>
      </w:r>
      <w:proofErr w:type="gramEnd"/>
      <w:r w:rsidRPr="00F64FC7">
        <w:rPr>
          <w:sz w:val="28"/>
          <w:szCs w:val="28"/>
        </w:rPr>
        <w:t xml:space="preserve"> – целевой уровень инфляции (4,0 процента);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  <w:lang w:val="en-US"/>
        </w:rPr>
        <w:t>p</w:t>
      </w:r>
      <w:r w:rsidRPr="00F64FC7">
        <w:rPr>
          <w:sz w:val="28"/>
          <w:szCs w:val="28"/>
        </w:rPr>
        <w:t xml:space="preserve"> – </w:t>
      </w:r>
      <w:proofErr w:type="gramStart"/>
      <w:r w:rsidRPr="00F64FC7">
        <w:rPr>
          <w:sz w:val="28"/>
          <w:szCs w:val="28"/>
        </w:rPr>
        <w:t>реальная</w:t>
      </w:r>
      <w:proofErr w:type="gramEnd"/>
      <w:r w:rsidRPr="00F64FC7">
        <w:rPr>
          <w:sz w:val="28"/>
          <w:szCs w:val="28"/>
        </w:rPr>
        <w:t xml:space="preserve"> процентная ставка, определяемая на уровне 2,5 процента;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  <w:lang w:val="en-US"/>
        </w:rPr>
        <w:t>c</w:t>
      </w:r>
      <w:r w:rsidRPr="00F64FC7">
        <w:rPr>
          <w:sz w:val="28"/>
          <w:szCs w:val="28"/>
        </w:rPr>
        <w:t xml:space="preserve"> – кредитная премия за риск, рассчитываемая для целей настоящего Порядка в зависимости от отношения объема муниципального долга Георгиевского городского округа по состоянию на 01 января текущего финансового года к объему налоговых и неналоговых доходов бюджета Георгиевского городского округа за отчетный период (в случае если указанное отношение составляет менее 50,0 процента, кредитная премия за риск принимается 1,0 процента; в случае если указанное отношение составляет от 50,0 до 100,0 процента, кредитная премия за риск принимается равной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 xml:space="preserve">По итогам оценки результативности налоговых расходов Георгиевского городского округа куратор налоговых расходов Георгиевского городского округа формирует и до 01 августа текущего финансового года представляет в уполномоченный орган информацию о достижении целевых характеристик налогового расхода Георгиевского городского округа, вкладе налогового расхода Георгиевского городского округа в достижение целей муниципальной программы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городского округа, а также о наличии или об отсутствии более результативных (менее затратных для бюджета Георгиевского городского округа) </w:t>
      </w:r>
      <w:r w:rsidRPr="00F64FC7">
        <w:rPr>
          <w:sz w:val="28"/>
          <w:szCs w:val="28"/>
        </w:rPr>
        <w:t xml:space="preserve">альтернативных механизмов достижения целей муниципальной программы </w:t>
      </w:r>
      <w:r w:rsidRPr="00F64FC7">
        <w:rPr>
          <w:bCs/>
          <w:sz w:val="28"/>
          <w:szCs w:val="28"/>
        </w:rPr>
        <w:t xml:space="preserve">Георгиевского городского 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>Георгиевского городского 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>Георгиевского городского округа.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pStyle w:val="ad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Уполномоченный орган до 05 августа текущего финансового года формирует оценку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 на основе данных, представленных кураторами налоговых расходов Георгиевского городского округа.</w:t>
      </w:r>
      <w:r w:rsidRPr="00F64FC7">
        <w:rPr>
          <w:sz w:val="28"/>
          <w:szCs w:val="28"/>
        </w:rPr>
        <w:t xml:space="preserve"> </w:t>
      </w:r>
    </w:p>
    <w:p w:rsidR="00F64FC7" w:rsidRPr="00F64FC7" w:rsidRDefault="00F64FC7" w:rsidP="00F64FC7">
      <w:pPr>
        <w:pStyle w:val="ad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pStyle w:val="a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lastRenderedPageBreak/>
        <w:t xml:space="preserve"> По результатам оценки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округа, уполномоченный орган в срок до 15 августа текущего финансового года готовит предложения о внесении изменений в муниципальные правовые акты Георгиевского городского округа в части отмены неэффективных налоговых расходов Георгиевского городского округа.</w:t>
      </w:r>
    </w:p>
    <w:p w:rsidR="00F64FC7" w:rsidRPr="00F64FC7" w:rsidRDefault="00F64FC7" w:rsidP="00F64FC7">
      <w:pPr>
        <w:pStyle w:val="ad"/>
        <w:ind w:left="0"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pStyle w:val="a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Результаты оценки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</w:t>
      </w:r>
      <w:r w:rsidRPr="00F64FC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Pr="00F64FC7">
        <w:rPr>
          <w:bCs/>
          <w:sz w:val="28"/>
          <w:szCs w:val="28"/>
        </w:rPr>
        <w:t>Георгиевского городского округа, а также при проведении оценки эффективности реализации муниципальных программ Георгиевского городского округа.</w:t>
      </w:r>
    </w:p>
    <w:p w:rsidR="00F64FC7" w:rsidRPr="00F64FC7" w:rsidRDefault="00F64FC7" w:rsidP="00F64FC7">
      <w:pPr>
        <w:pStyle w:val="ad"/>
        <w:ind w:left="0"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pStyle w:val="a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Уполномоченный орган до 01 октября текущего финансового года размещает результаты оценки эффективности налоговых расходов </w:t>
      </w:r>
      <w:r w:rsidRPr="00F64FC7">
        <w:rPr>
          <w:bCs/>
          <w:sz w:val="28"/>
          <w:szCs w:val="28"/>
        </w:rPr>
        <w:t>Георгиевского городского округа на официальном сайте Георгиевского городского округа в информационно-телекоммуникационной сети «Интернет».</w:t>
      </w:r>
    </w:p>
    <w:p w:rsidR="00F64FC7" w:rsidRDefault="00F64FC7" w:rsidP="00F64FC7">
      <w:pPr>
        <w:ind w:firstLine="709"/>
        <w:jc w:val="both"/>
        <w:rPr>
          <w:color w:val="333333"/>
          <w:sz w:val="28"/>
          <w:szCs w:val="28"/>
        </w:rPr>
      </w:pPr>
    </w:p>
    <w:p w:rsidR="00F64FC7" w:rsidRDefault="00F64FC7" w:rsidP="00F64FC7">
      <w:pPr>
        <w:ind w:firstLine="709"/>
        <w:jc w:val="both"/>
        <w:rPr>
          <w:color w:val="333333"/>
          <w:sz w:val="28"/>
          <w:szCs w:val="28"/>
        </w:rPr>
      </w:pPr>
    </w:p>
    <w:p w:rsidR="00F64FC7" w:rsidRDefault="00F64FC7" w:rsidP="00F64FC7">
      <w:pPr>
        <w:spacing w:line="240" w:lineRule="exact"/>
        <w:mirrorIndents/>
        <w:jc w:val="both"/>
        <w:rPr>
          <w:sz w:val="28"/>
        </w:rPr>
      </w:pP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F64FC7" w:rsidSect="00F64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4E" w:rsidRDefault="00952A4E" w:rsidP="009103A7">
      <w:r>
        <w:separator/>
      </w:r>
    </w:p>
  </w:endnote>
  <w:endnote w:type="continuationSeparator" w:id="0">
    <w:p w:rsidR="00952A4E" w:rsidRDefault="00952A4E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952A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952A4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952A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4E" w:rsidRDefault="00952A4E" w:rsidP="009103A7">
      <w:r>
        <w:separator/>
      </w:r>
    </w:p>
  </w:footnote>
  <w:footnote w:type="continuationSeparator" w:id="0">
    <w:p w:rsidR="00952A4E" w:rsidRDefault="00952A4E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74" w:rsidRDefault="007B7374">
    <w:pPr>
      <w:pStyle w:val="a7"/>
      <w:jc w:val="right"/>
    </w:pPr>
  </w:p>
  <w:p w:rsidR="007B7374" w:rsidRDefault="007B73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751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185" w:rsidRPr="00F64FC7" w:rsidRDefault="00F64FC7">
        <w:pPr>
          <w:pStyle w:val="a7"/>
          <w:jc w:val="right"/>
          <w:rPr>
            <w:sz w:val="28"/>
            <w:szCs w:val="28"/>
          </w:rPr>
        </w:pPr>
        <w:r w:rsidRPr="00F64FC7">
          <w:rPr>
            <w:sz w:val="28"/>
            <w:szCs w:val="28"/>
          </w:rPr>
          <w:fldChar w:fldCharType="begin"/>
        </w:r>
        <w:r w:rsidRPr="00F64FC7">
          <w:rPr>
            <w:sz w:val="28"/>
            <w:szCs w:val="28"/>
          </w:rPr>
          <w:instrText>PAGE   \* MERGEFORMAT</w:instrText>
        </w:r>
        <w:r w:rsidRPr="00F64FC7">
          <w:rPr>
            <w:sz w:val="28"/>
            <w:szCs w:val="28"/>
          </w:rPr>
          <w:fldChar w:fldCharType="separate"/>
        </w:r>
        <w:r w:rsidR="00A23E03">
          <w:rPr>
            <w:noProof/>
            <w:sz w:val="28"/>
            <w:szCs w:val="28"/>
          </w:rPr>
          <w:t>9</w:t>
        </w:r>
        <w:r w:rsidRPr="00F64FC7">
          <w:rPr>
            <w:sz w:val="28"/>
            <w:szCs w:val="28"/>
          </w:rPr>
          <w:fldChar w:fldCharType="end"/>
        </w:r>
      </w:p>
    </w:sdtContent>
  </w:sdt>
  <w:p w:rsidR="00E71185" w:rsidRDefault="00952A4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74" w:rsidRDefault="007B73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45F99"/>
    <w:multiLevelType w:val="hybridMultilevel"/>
    <w:tmpl w:val="3EF0F650"/>
    <w:lvl w:ilvl="0" w:tplc="5A3E8A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4158C0"/>
    <w:multiLevelType w:val="hybridMultilevel"/>
    <w:tmpl w:val="DEC6EC02"/>
    <w:lvl w:ilvl="0" w:tplc="847E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61D9"/>
    <w:multiLevelType w:val="hybridMultilevel"/>
    <w:tmpl w:val="3C422592"/>
    <w:lvl w:ilvl="0" w:tplc="6B68CCD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A0C33"/>
    <w:multiLevelType w:val="hybridMultilevel"/>
    <w:tmpl w:val="19B47F80"/>
    <w:lvl w:ilvl="0" w:tplc="A6E8A3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9"/>
    <w:rsid w:val="00000570"/>
    <w:rsid w:val="00004984"/>
    <w:rsid w:val="00010A34"/>
    <w:rsid w:val="00050E7D"/>
    <w:rsid w:val="00087932"/>
    <w:rsid w:val="000A3F5A"/>
    <w:rsid w:val="000A51F9"/>
    <w:rsid w:val="000A53FC"/>
    <w:rsid w:val="000B0B71"/>
    <w:rsid w:val="001520D6"/>
    <w:rsid w:val="00163310"/>
    <w:rsid w:val="00165695"/>
    <w:rsid w:val="001C0F4A"/>
    <w:rsid w:val="001E2BDF"/>
    <w:rsid w:val="001F2FBA"/>
    <w:rsid w:val="00200571"/>
    <w:rsid w:val="00210225"/>
    <w:rsid w:val="002236B8"/>
    <w:rsid w:val="002531B4"/>
    <w:rsid w:val="002542A9"/>
    <w:rsid w:val="00276B54"/>
    <w:rsid w:val="002851AB"/>
    <w:rsid w:val="002A2D52"/>
    <w:rsid w:val="002B7856"/>
    <w:rsid w:val="002D5264"/>
    <w:rsid w:val="002E757C"/>
    <w:rsid w:val="002E7E0F"/>
    <w:rsid w:val="00306ED5"/>
    <w:rsid w:val="00310F91"/>
    <w:rsid w:val="0031365C"/>
    <w:rsid w:val="00314909"/>
    <w:rsid w:val="00340E93"/>
    <w:rsid w:val="00347059"/>
    <w:rsid w:val="00351C8C"/>
    <w:rsid w:val="0037193F"/>
    <w:rsid w:val="00395E2E"/>
    <w:rsid w:val="00396A8D"/>
    <w:rsid w:val="003D0655"/>
    <w:rsid w:val="00410DBD"/>
    <w:rsid w:val="00454561"/>
    <w:rsid w:val="00461294"/>
    <w:rsid w:val="00464BBC"/>
    <w:rsid w:val="004848D9"/>
    <w:rsid w:val="004871F5"/>
    <w:rsid w:val="004A55C1"/>
    <w:rsid w:val="004C0806"/>
    <w:rsid w:val="004E21D0"/>
    <w:rsid w:val="004F102A"/>
    <w:rsid w:val="004F2761"/>
    <w:rsid w:val="00512A9D"/>
    <w:rsid w:val="00515B7D"/>
    <w:rsid w:val="00522B53"/>
    <w:rsid w:val="00545008"/>
    <w:rsid w:val="00550848"/>
    <w:rsid w:val="00566384"/>
    <w:rsid w:val="005844BE"/>
    <w:rsid w:val="00594CBC"/>
    <w:rsid w:val="005A69B4"/>
    <w:rsid w:val="005C7744"/>
    <w:rsid w:val="005E2ABE"/>
    <w:rsid w:val="005F1F1D"/>
    <w:rsid w:val="005F42A2"/>
    <w:rsid w:val="006054D2"/>
    <w:rsid w:val="00611C41"/>
    <w:rsid w:val="00623D90"/>
    <w:rsid w:val="00627A71"/>
    <w:rsid w:val="00636659"/>
    <w:rsid w:val="0064250E"/>
    <w:rsid w:val="00693BE5"/>
    <w:rsid w:val="006A582E"/>
    <w:rsid w:val="006A7C66"/>
    <w:rsid w:val="006F2CE4"/>
    <w:rsid w:val="00727B71"/>
    <w:rsid w:val="00757909"/>
    <w:rsid w:val="00761790"/>
    <w:rsid w:val="00786E58"/>
    <w:rsid w:val="00795055"/>
    <w:rsid w:val="007A3F35"/>
    <w:rsid w:val="007B7374"/>
    <w:rsid w:val="007E2B7A"/>
    <w:rsid w:val="008007AB"/>
    <w:rsid w:val="00827461"/>
    <w:rsid w:val="00835E57"/>
    <w:rsid w:val="00845796"/>
    <w:rsid w:val="0086290B"/>
    <w:rsid w:val="00873F19"/>
    <w:rsid w:val="00881888"/>
    <w:rsid w:val="008A24AF"/>
    <w:rsid w:val="008C45C2"/>
    <w:rsid w:val="008C697B"/>
    <w:rsid w:val="008D0394"/>
    <w:rsid w:val="009067A0"/>
    <w:rsid w:val="009103A7"/>
    <w:rsid w:val="00917CBC"/>
    <w:rsid w:val="00923301"/>
    <w:rsid w:val="00936D22"/>
    <w:rsid w:val="00937849"/>
    <w:rsid w:val="00942DEF"/>
    <w:rsid w:val="0094587C"/>
    <w:rsid w:val="00952A4E"/>
    <w:rsid w:val="009578FE"/>
    <w:rsid w:val="009858CB"/>
    <w:rsid w:val="00993B15"/>
    <w:rsid w:val="009C3909"/>
    <w:rsid w:val="009D759E"/>
    <w:rsid w:val="009F3D2D"/>
    <w:rsid w:val="00A23E03"/>
    <w:rsid w:val="00A34023"/>
    <w:rsid w:val="00A46294"/>
    <w:rsid w:val="00A51A82"/>
    <w:rsid w:val="00A51C9C"/>
    <w:rsid w:val="00A53AA2"/>
    <w:rsid w:val="00A5615F"/>
    <w:rsid w:val="00A7187B"/>
    <w:rsid w:val="00A867CE"/>
    <w:rsid w:val="00A94913"/>
    <w:rsid w:val="00A96DDC"/>
    <w:rsid w:val="00AA014C"/>
    <w:rsid w:val="00AB3906"/>
    <w:rsid w:val="00AB48AD"/>
    <w:rsid w:val="00AE66DD"/>
    <w:rsid w:val="00AF1957"/>
    <w:rsid w:val="00AF4244"/>
    <w:rsid w:val="00B100D6"/>
    <w:rsid w:val="00B13999"/>
    <w:rsid w:val="00B322D1"/>
    <w:rsid w:val="00B465DD"/>
    <w:rsid w:val="00B625AA"/>
    <w:rsid w:val="00B8726F"/>
    <w:rsid w:val="00B91114"/>
    <w:rsid w:val="00B9589E"/>
    <w:rsid w:val="00BC56CE"/>
    <w:rsid w:val="00BD1019"/>
    <w:rsid w:val="00BD3CFB"/>
    <w:rsid w:val="00BE1C4A"/>
    <w:rsid w:val="00BE50A0"/>
    <w:rsid w:val="00BE7EF7"/>
    <w:rsid w:val="00BF2EC7"/>
    <w:rsid w:val="00C03EEA"/>
    <w:rsid w:val="00C16299"/>
    <w:rsid w:val="00C335FF"/>
    <w:rsid w:val="00C5639A"/>
    <w:rsid w:val="00C80A2A"/>
    <w:rsid w:val="00CA2179"/>
    <w:rsid w:val="00CD4816"/>
    <w:rsid w:val="00CE2980"/>
    <w:rsid w:val="00CF5A6C"/>
    <w:rsid w:val="00D04A76"/>
    <w:rsid w:val="00D052CC"/>
    <w:rsid w:val="00D10B28"/>
    <w:rsid w:val="00D2162C"/>
    <w:rsid w:val="00D23C45"/>
    <w:rsid w:val="00D366A1"/>
    <w:rsid w:val="00D57AFD"/>
    <w:rsid w:val="00D67EB3"/>
    <w:rsid w:val="00DC3108"/>
    <w:rsid w:val="00E3276E"/>
    <w:rsid w:val="00E37D16"/>
    <w:rsid w:val="00E43E10"/>
    <w:rsid w:val="00E55C19"/>
    <w:rsid w:val="00E57B44"/>
    <w:rsid w:val="00E665B9"/>
    <w:rsid w:val="00EB68AC"/>
    <w:rsid w:val="00F170F2"/>
    <w:rsid w:val="00F33C86"/>
    <w:rsid w:val="00F40946"/>
    <w:rsid w:val="00F571D2"/>
    <w:rsid w:val="00F60F29"/>
    <w:rsid w:val="00F64FC7"/>
    <w:rsid w:val="00F7194E"/>
    <w:rsid w:val="00F734B6"/>
    <w:rsid w:val="00F752CD"/>
    <w:rsid w:val="00F82C88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4576E-C413-4F5A-9490-8D0900E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2020-10-15T12:17:00Z</cp:lastPrinted>
  <dcterms:created xsi:type="dcterms:W3CDTF">2020-10-23T08:44:00Z</dcterms:created>
  <dcterms:modified xsi:type="dcterms:W3CDTF">2020-10-23T11:09:00Z</dcterms:modified>
</cp:coreProperties>
</file>