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B04" w:rsidRPr="008E6B04" w:rsidRDefault="008E6B04" w:rsidP="008E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8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г.                        г. Георгиевск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3681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администрацией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 xml:space="preserve">Ставропольского края, </w:t>
      </w:r>
      <w:r w:rsidR="005D20A4" w:rsidRPr="009B11F1">
        <w:rPr>
          <w:rStyle w:val="ab"/>
          <w:bCs/>
          <w:color w:val="auto"/>
          <w:sz w:val="28"/>
          <w:szCs w:val="28"/>
        </w:rPr>
        <w:t>подведомствен</w:t>
      </w:r>
      <w:r w:rsidR="009B11F1">
        <w:rPr>
          <w:rStyle w:val="ab"/>
          <w:bCs/>
          <w:color w:val="auto"/>
          <w:sz w:val="28"/>
          <w:szCs w:val="28"/>
        </w:rPr>
        <w:t>ными ей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муниц</w:t>
      </w:r>
      <w:r w:rsidR="005D20A4" w:rsidRPr="009B11F1">
        <w:rPr>
          <w:rStyle w:val="ab"/>
          <w:bCs/>
          <w:color w:val="auto"/>
          <w:sz w:val="28"/>
          <w:szCs w:val="28"/>
        </w:rPr>
        <w:t>и</w:t>
      </w:r>
      <w:r w:rsidR="005D20A4" w:rsidRPr="009B11F1">
        <w:rPr>
          <w:rStyle w:val="ab"/>
          <w:bCs/>
          <w:color w:val="auto"/>
          <w:sz w:val="28"/>
          <w:szCs w:val="28"/>
        </w:rPr>
        <w:t>пальными казенными, бюджетными учреждениями Георгиевского городск</w:t>
      </w:r>
      <w:r w:rsidR="005D20A4" w:rsidRPr="009B11F1">
        <w:rPr>
          <w:rStyle w:val="ab"/>
          <w:bCs/>
          <w:color w:val="auto"/>
          <w:sz w:val="28"/>
          <w:szCs w:val="28"/>
        </w:rPr>
        <w:t>о</w:t>
      </w:r>
      <w:r w:rsidR="005D20A4" w:rsidRPr="009B11F1">
        <w:rPr>
          <w:rStyle w:val="ab"/>
          <w:bCs/>
          <w:color w:val="auto"/>
          <w:sz w:val="28"/>
          <w:szCs w:val="28"/>
        </w:rPr>
        <w:t>го округа</w:t>
      </w:r>
      <w:r w:rsidR="00EB030C">
        <w:rPr>
          <w:rStyle w:val="ab"/>
          <w:bCs/>
          <w:color w:val="auto"/>
          <w:sz w:val="28"/>
          <w:szCs w:val="28"/>
        </w:rPr>
        <w:t xml:space="preserve"> Ставропольского края</w:t>
      </w:r>
      <w:r w:rsidR="005D20A4" w:rsidRPr="009B11F1">
        <w:rPr>
          <w:sz w:val="28"/>
          <w:szCs w:val="28"/>
        </w:rPr>
        <w:t>, муниципальными унитарными предпр</w:t>
      </w:r>
      <w:r w:rsidR="005D20A4" w:rsidRPr="009B11F1">
        <w:rPr>
          <w:sz w:val="28"/>
          <w:szCs w:val="28"/>
        </w:rPr>
        <w:t>и</w:t>
      </w:r>
      <w:r w:rsidR="005D20A4" w:rsidRPr="009B11F1">
        <w:rPr>
          <w:sz w:val="28"/>
          <w:szCs w:val="28"/>
        </w:rPr>
        <w:t xml:space="preserve">ятиями 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Георгиевского городского округа </w:t>
      </w:r>
      <w:r w:rsidR="00EB030C">
        <w:rPr>
          <w:rStyle w:val="ab"/>
          <w:bCs/>
          <w:color w:val="auto"/>
          <w:sz w:val="28"/>
          <w:szCs w:val="28"/>
        </w:rPr>
        <w:t xml:space="preserve">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</w:t>
      </w:r>
      <w:r w:rsidR="005D20A4" w:rsidRPr="009B11F1">
        <w:rPr>
          <w:rStyle w:val="ab"/>
          <w:bCs/>
          <w:color w:val="auto"/>
          <w:sz w:val="28"/>
          <w:szCs w:val="28"/>
        </w:rPr>
        <w:t>с</w:t>
      </w:r>
      <w:r w:rsidR="005D20A4" w:rsidRPr="009B11F1">
        <w:rPr>
          <w:rStyle w:val="ab"/>
          <w:bCs/>
          <w:color w:val="auto"/>
          <w:sz w:val="28"/>
          <w:szCs w:val="28"/>
        </w:rPr>
        <w:t>луг)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Default="001B0727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6A17"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в Георгиевском городском округе Ставропол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утвержденными</w:t>
      </w:r>
      <w:proofErr w:type="gramEnd"/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постановлением администрации Георгиевского </w:t>
      </w:r>
      <w:proofErr w:type="gramStart"/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1D42D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1828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(в р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дакции постановления администрации Георгиевского городского округа Ставропольского края от 10 сентября 2018 г. № 2373</w:t>
      </w:r>
      <w:r w:rsidR="00F3416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 w:rsidR="00C214A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C214A4" w:rsidRPr="006E2800">
        <w:rPr>
          <w:rFonts w:ascii="Times New Roman" w:hAnsi="Times New Roman" w:cs="Times New Roman"/>
          <w:sz w:val="28"/>
          <w:szCs w:val="28"/>
        </w:rPr>
        <w:t>определ</w:t>
      </w:r>
      <w:r w:rsidR="00C214A4" w:rsidRPr="006E2800">
        <w:rPr>
          <w:rFonts w:ascii="Times New Roman" w:hAnsi="Times New Roman" w:cs="Times New Roman"/>
          <w:sz w:val="28"/>
          <w:szCs w:val="28"/>
        </w:rPr>
        <w:t>е</w:t>
      </w:r>
      <w:r w:rsidR="00C214A4" w:rsidRPr="006E2800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 w:rsidR="00C214A4"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закупаемым органами местного самоуправления Георгие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края, с</w:t>
      </w:r>
      <w:r w:rsidR="00C214A4" w:rsidRPr="00C214A4">
        <w:rPr>
          <w:rFonts w:ascii="Times New Roman" w:hAnsi="Times New Roman" w:cs="Times New Roman"/>
          <w:sz w:val="28"/>
          <w:szCs w:val="28"/>
        </w:rPr>
        <w:t>труктурными подраздел</w:t>
      </w:r>
      <w:r w:rsidR="00C214A4" w:rsidRPr="00C214A4">
        <w:rPr>
          <w:rFonts w:ascii="Times New Roman" w:hAnsi="Times New Roman" w:cs="Times New Roman"/>
          <w:sz w:val="28"/>
          <w:szCs w:val="28"/>
        </w:rPr>
        <w:t>е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ниями администрации 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, наделенными правами юридического лица,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родского округа</w:t>
      </w:r>
      <w:proofErr w:type="gramEnd"/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214A4" w:rsidRPr="00C214A4">
        <w:rPr>
          <w:rFonts w:ascii="Times New Roman" w:hAnsi="Times New Roman" w:cs="Times New Roman"/>
          <w:sz w:val="28"/>
          <w:szCs w:val="28"/>
        </w:rPr>
        <w:t>д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ным видам товаров, работ, услуг </w:t>
      </w:r>
      <w:r w:rsidR="00836244"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 числе предельных цен товаров,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="00880DC2" w:rsidRPr="00880DC2">
        <w:rPr>
          <w:rFonts w:ascii="Times New Roman" w:hAnsi="Times New Roman" w:cs="Times New Roman"/>
          <w:sz w:val="28"/>
          <w:szCs w:val="28"/>
        </w:rPr>
        <w:t>от 21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DC2" w:rsidRPr="00880DC2">
        <w:rPr>
          <w:rFonts w:ascii="Times New Roman" w:hAnsi="Times New Roman" w:cs="Times New Roman"/>
          <w:sz w:val="28"/>
          <w:szCs w:val="28"/>
        </w:rPr>
        <w:t>8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DC2" w:rsidRPr="00880DC2">
        <w:rPr>
          <w:rFonts w:ascii="Times New Roman" w:hAnsi="Times New Roman" w:cs="Times New Roman"/>
          <w:sz w:val="28"/>
          <w:szCs w:val="28"/>
        </w:rPr>
        <w:t>3555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836244" w:rsidRPr="00836244">
        <w:rPr>
          <w:rFonts w:ascii="Times New Roman" w:hAnsi="Times New Roman" w:cs="Times New Roman"/>
          <w:sz w:val="28"/>
          <w:szCs w:val="28"/>
        </w:rPr>
        <w:t>на о</w:t>
      </w:r>
      <w:r w:rsidR="00836244" w:rsidRPr="00836244">
        <w:rPr>
          <w:rFonts w:ascii="Times New Roman" w:hAnsi="Times New Roman" w:cs="Times New Roman"/>
          <w:sz w:val="28"/>
          <w:szCs w:val="28"/>
        </w:rPr>
        <w:t>с</w:t>
      </w:r>
      <w:r w:rsidR="00836244" w:rsidRPr="00836244">
        <w:rPr>
          <w:rFonts w:ascii="Times New Roman" w:hAnsi="Times New Roman" w:cs="Times New Roman"/>
          <w:sz w:val="28"/>
          <w:szCs w:val="28"/>
        </w:rPr>
        <w:t>новании статей 57, 61 Устава Георгиевского городского округа Ставропол</w:t>
      </w:r>
      <w:r w:rsidR="00836244" w:rsidRPr="00836244">
        <w:rPr>
          <w:rFonts w:ascii="Times New Roman" w:hAnsi="Times New Roman" w:cs="Times New Roman"/>
          <w:sz w:val="28"/>
          <w:szCs w:val="28"/>
        </w:rPr>
        <w:t>ь</w:t>
      </w:r>
      <w:r w:rsidR="00836244" w:rsidRPr="0083624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D61AB1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proofErr w:type="gramEnd"/>
    </w:p>
    <w:p w:rsidR="00CD542A" w:rsidRDefault="00CD542A" w:rsidP="000A2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Default="00752DE6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A2393" w:rsidRDefault="000A2393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B0727" w:rsidRPr="00D61AB1" w:rsidRDefault="001B0727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lastRenderedPageBreak/>
        <w:t>постановляет: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администрацией Георгиевск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городского округа Ставропольского края, подведомственными ей муниц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пальными казенными, бюджетными учреждениями Георгиевского городск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округа</w:t>
      </w:r>
      <w:r w:rsidR="0000772B" w:rsidRPr="0000772B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Георгиевского г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родского округа отдельным видам товаров, работ, услуг (в том числе пр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тов</w:t>
      </w:r>
      <w:r w:rsidRPr="007B68FF">
        <w:rPr>
          <w:rFonts w:ascii="Times New Roman" w:hAnsi="Times New Roman" w:cs="Times New Roman"/>
          <w:sz w:val="28"/>
          <w:szCs w:val="28"/>
        </w:rPr>
        <w:t>а</w:t>
      </w:r>
      <w:r w:rsidRPr="007B68FF">
        <w:rPr>
          <w:rFonts w:ascii="Times New Roman" w:hAnsi="Times New Roman" w:cs="Times New Roman"/>
          <w:sz w:val="28"/>
          <w:szCs w:val="28"/>
        </w:rPr>
        <w:t>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цены товаров, работ, услуг) к ним (далее - перечень)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</w:p>
    <w:p w:rsidR="00353F59" w:rsidRDefault="00353F59" w:rsidP="000955D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353F59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 w:rsidRPr="00353F59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353F59">
        <w:rPr>
          <w:rFonts w:ascii="Times New Roman" w:hAnsi="Times New Roman"/>
          <w:sz w:val="28"/>
          <w:szCs w:val="28"/>
        </w:rPr>
        <w:t>о</w:t>
      </w:r>
      <w:r w:rsidRPr="00353F59">
        <w:rPr>
          <w:rFonts w:ascii="Times New Roman" w:hAnsi="Times New Roman"/>
          <w:sz w:val="28"/>
          <w:szCs w:val="28"/>
        </w:rPr>
        <w:t xml:space="preserve">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</w:t>
      </w:r>
      <w:r w:rsidRPr="00353F59">
        <w:rPr>
          <w:rFonts w:ascii="Times New Roman" w:hAnsi="Times New Roman"/>
          <w:sz w:val="28"/>
          <w:szCs w:val="28"/>
        </w:rPr>
        <w:t>в</w:t>
      </w:r>
      <w:r w:rsidRPr="00353F59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353F59">
        <w:rPr>
          <w:rFonts w:ascii="Times New Roman" w:hAnsi="Times New Roman"/>
          <w:sz w:val="28"/>
          <w:szCs w:val="28"/>
        </w:rPr>
        <w:t>н</w:t>
      </w:r>
      <w:r w:rsidRPr="00353F59">
        <w:rPr>
          <w:rFonts w:ascii="Times New Roman" w:hAnsi="Times New Roman"/>
          <w:sz w:val="28"/>
          <w:szCs w:val="28"/>
        </w:rPr>
        <w:t>ной системе в сфере закупок.</w:t>
      </w:r>
    </w:p>
    <w:p w:rsidR="001B0727" w:rsidRPr="00353F59" w:rsidRDefault="001B0727" w:rsidP="000955D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894" w:rsidRPr="00417A95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D2674E">
        <w:rPr>
          <w:rFonts w:ascii="Times New Roman" w:hAnsi="Times New Roman" w:cs="Times New Roman"/>
          <w:sz w:val="28"/>
          <w:szCs w:val="28"/>
        </w:rPr>
        <w:t xml:space="preserve">Настоящее постановление не распространяется на </w:t>
      </w:r>
      <w:r w:rsidR="005442AD" w:rsidRPr="005442AD">
        <w:rPr>
          <w:rFonts w:ascii="Times New Roman" w:hAnsi="Times New Roman" w:cs="Times New Roman"/>
          <w:sz w:val="28"/>
          <w:szCs w:val="28"/>
        </w:rPr>
        <w:t>товар</w:t>
      </w:r>
      <w:r w:rsidR="005442AD">
        <w:rPr>
          <w:rFonts w:ascii="Times New Roman" w:hAnsi="Times New Roman" w:cs="Times New Roman"/>
          <w:sz w:val="28"/>
          <w:szCs w:val="28"/>
        </w:rPr>
        <w:t>ы</w:t>
      </w:r>
      <w:r w:rsidR="005442AD" w:rsidRPr="005442AD">
        <w:rPr>
          <w:rFonts w:ascii="Times New Roman" w:hAnsi="Times New Roman" w:cs="Times New Roman"/>
          <w:sz w:val="28"/>
          <w:szCs w:val="28"/>
        </w:rPr>
        <w:t>, работ</w:t>
      </w:r>
      <w:r w:rsidR="005442AD">
        <w:rPr>
          <w:rFonts w:ascii="Times New Roman" w:hAnsi="Times New Roman" w:cs="Times New Roman"/>
          <w:sz w:val="28"/>
          <w:szCs w:val="28"/>
        </w:rPr>
        <w:t>ы</w:t>
      </w:r>
      <w:r w:rsidR="005442AD" w:rsidRPr="005442AD">
        <w:rPr>
          <w:rFonts w:ascii="Times New Roman" w:hAnsi="Times New Roman" w:cs="Times New Roman"/>
          <w:sz w:val="28"/>
          <w:szCs w:val="28"/>
        </w:rPr>
        <w:t>, услуг</w:t>
      </w:r>
      <w:r w:rsidR="005442AD">
        <w:rPr>
          <w:rFonts w:ascii="Times New Roman" w:hAnsi="Times New Roman" w:cs="Times New Roman"/>
          <w:sz w:val="28"/>
          <w:szCs w:val="28"/>
        </w:rPr>
        <w:t>и,</w:t>
      </w:r>
      <w:r w:rsidR="005442AD" w:rsidRPr="005442AD">
        <w:rPr>
          <w:rFonts w:ascii="Times New Roman" w:hAnsi="Times New Roman" w:cs="Times New Roman"/>
          <w:sz w:val="28"/>
          <w:szCs w:val="28"/>
        </w:rPr>
        <w:t xml:space="preserve"> </w:t>
      </w:r>
      <w:r w:rsidRPr="00D2674E">
        <w:rPr>
          <w:rFonts w:ascii="Times New Roman" w:hAnsi="Times New Roman" w:cs="Times New Roman"/>
          <w:sz w:val="28"/>
          <w:szCs w:val="28"/>
        </w:rPr>
        <w:t xml:space="preserve">закупаемые </w:t>
      </w:r>
      <w:r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D2674E">
        <w:rPr>
          <w:rFonts w:ascii="Times New Roman" w:hAnsi="Times New Roman" w:cs="Times New Roman"/>
          <w:sz w:val="28"/>
          <w:szCs w:val="28"/>
        </w:rPr>
        <w:t>труктурными подразделениями администрации Георг</w:t>
      </w:r>
      <w:r w:rsidRPr="00D2674E">
        <w:rPr>
          <w:rFonts w:ascii="Times New Roman" w:hAnsi="Times New Roman" w:cs="Times New Roman"/>
          <w:sz w:val="28"/>
          <w:szCs w:val="28"/>
        </w:rPr>
        <w:t>и</w:t>
      </w:r>
      <w:r w:rsidRPr="00D2674E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D2674E" w:rsidRPr="00D267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2674E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Pr="00D2674E">
        <w:rPr>
          <w:rFonts w:ascii="Times New Roman" w:hAnsi="Times New Roman" w:cs="Times New Roman"/>
          <w:sz w:val="28"/>
          <w:szCs w:val="28"/>
        </w:rPr>
        <w:t>, наделенными правами юридического лица</w:t>
      </w:r>
      <w:r w:rsidR="004C6F69">
        <w:rPr>
          <w:rFonts w:ascii="Times New Roman" w:hAnsi="Times New Roman" w:cs="Times New Roman"/>
          <w:sz w:val="28"/>
          <w:szCs w:val="28"/>
        </w:rPr>
        <w:t>,</w:t>
      </w:r>
      <w:r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 подведомственными им </w:t>
      </w:r>
      <w:r w:rsidR="00437894"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муниципальными казенными, бюджетными учреждениями Георгиевского городского округа</w:t>
      </w:r>
      <w:r w:rsidR="002B22F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</w:t>
      </w:r>
      <w:r w:rsidR="002B22F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2B22F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="00437894" w:rsidRPr="00D2674E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437894"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Георгиевского г</w:t>
      </w:r>
      <w:r w:rsidR="00437894"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37894" w:rsidRP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родского</w:t>
      </w:r>
      <w:r w:rsidR="000D49F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</w:t>
      </w:r>
      <w:r w:rsidR="00B177D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D2674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7A95" w:rsidRPr="00417A95" w:rsidRDefault="00417A95" w:rsidP="000955D4">
      <w:pPr>
        <w:pStyle w:val="a5"/>
        <w:ind w:left="0" w:firstLine="709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417A95" w:rsidRPr="00815778" w:rsidRDefault="00417A95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77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Pr="00815778">
        <w:rPr>
          <w:rFonts w:ascii="Times New Roman" w:hAnsi="Times New Roman" w:cs="Times New Roman"/>
          <w:sz w:val="28"/>
          <w:szCs w:val="28"/>
        </w:rPr>
        <w:t>12 марта 201</w:t>
      </w:r>
      <w:r w:rsidR="004C6F69">
        <w:rPr>
          <w:rFonts w:ascii="Times New Roman" w:hAnsi="Times New Roman" w:cs="Times New Roman"/>
          <w:sz w:val="28"/>
          <w:szCs w:val="28"/>
        </w:rPr>
        <w:t>8</w:t>
      </w:r>
      <w:r w:rsidRPr="00815778">
        <w:rPr>
          <w:rFonts w:ascii="Times New Roman" w:hAnsi="Times New Roman" w:cs="Times New Roman"/>
          <w:sz w:val="28"/>
          <w:szCs w:val="28"/>
        </w:rPr>
        <w:t xml:space="preserve"> г. № 643</w:t>
      </w:r>
      <w:r w:rsidR="00815778" w:rsidRPr="00815778">
        <w:rPr>
          <w:rFonts w:ascii="Times New Roman" w:hAnsi="Times New Roman" w:cs="Times New Roman"/>
          <w:sz w:val="28"/>
          <w:szCs w:val="28"/>
        </w:rPr>
        <w:t xml:space="preserve"> «</w:t>
      </w:r>
      <w:r w:rsidRPr="00815778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администрацией Георгиевского городского округа Ставропольского края, подведомственными ей муниц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пальными казенными, бюджетными учреждениями Георгиевского городск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округа</w:t>
      </w:r>
      <w:r w:rsidRPr="00815778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Георгиевского г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родского округа отдельным видам товаров, работ, услуг (в том числе пр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дельных цен товаров, работ, услуг)</w:t>
      </w:r>
      <w:r w:rsidR="00815778"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».</w:t>
      </w:r>
      <w:proofErr w:type="gramEnd"/>
    </w:p>
    <w:p w:rsidR="00417A95" w:rsidRDefault="00417A95" w:rsidP="0009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r w:rsidRPr="00D61A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2323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61A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E818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61AB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5" w:name="sub_4"/>
      <w:bookmarkEnd w:id="4"/>
      <w:proofErr w:type="spellStart"/>
      <w:r w:rsidR="00535BDB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535BD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A2393" w:rsidRDefault="000A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727" w:rsidRPr="00D61AB1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принятия.</w:t>
      </w:r>
    </w:p>
    <w:bookmarkEnd w:id="5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1E0DB6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256E"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1E0DB6">
        <w:rPr>
          <w:rFonts w:ascii="Times New Roman" w:hAnsi="Times New Roman" w:cs="Times New Roman"/>
          <w:sz w:val="28"/>
          <w:szCs w:val="28"/>
        </w:rPr>
        <w:t>М.В.Клетин</w:t>
      </w: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AE3" w:rsidRDefault="00796AE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1A3" w:rsidSect="000A2393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989"/>
        <w:gridCol w:w="999"/>
        <w:gridCol w:w="11"/>
        <w:gridCol w:w="935"/>
        <w:gridCol w:w="809"/>
        <w:gridCol w:w="803"/>
        <w:gridCol w:w="28"/>
        <w:gridCol w:w="795"/>
        <w:gridCol w:w="10"/>
        <w:gridCol w:w="614"/>
        <w:gridCol w:w="10"/>
        <w:gridCol w:w="595"/>
        <w:gridCol w:w="10"/>
      </w:tblGrid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2861" w:rsidRPr="00752B60" w:rsidRDefault="008E6B04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декабря 2018 г. № 3681</w:t>
            </w: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472977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90" w:type="dxa"/>
            <w:gridSpan w:val="13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D5136E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8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7452BC" w:rsidRPr="00752B60" w:rsidTr="006259E3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(категория «руковод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тели»)</w:t>
            </w:r>
          </w:p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ний,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ятий</w:t>
            </w:r>
          </w:p>
        </w:tc>
        <w:tc>
          <w:tcPr>
            <w:tcW w:w="1010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35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8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31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95" w:type="dxa"/>
            <w:vAlign w:val="center"/>
          </w:tcPr>
          <w:p w:rsidR="007452BC" w:rsidRPr="00752B60" w:rsidRDefault="007452B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7452BC" w:rsidRPr="00752B60" w:rsidRDefault="007452B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чением помощн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 депут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тов), 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ботники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учр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ждений и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ятий, не являющи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ся их рук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A1C33" w:rsidRPr="00752B60" w:rsidTr="006259E3">
        <w:trPr>
          <w:gridAfter w:val="1"/>
          <w:wAfter w:w="10" w:type="dxa"/>
          <w:trHeight w:val="53"/>
          <w:jc w:val="center"/>
        </w:trPr>
        <w:tc>
          <w:tcPr>
            <w:tcW w:w="19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3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31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9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A1C33" w:rsidRPr="00752B60" w:rsidTr="00D07B96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2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Георгиевского городского округа Ставропольского края, подведомственные администрации Георгиевского городского округа Ставропольского края</w:t>
            </w:r>
          </w:p>
          <w:p w:rsidR="005A1C33" w:rsidRPr="00752B60" w:rsidRDefault="005A1C33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муниципальные казенные, бюджетные учреждения, муниципальные унитарные предприятия Георгиевского городского округа Ставропольского края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ского</w:t>
            </w:r>
            <w:proofErr w:type="gramEnd"/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округа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НЖМД, или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0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1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12,9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39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873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38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сора, частота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80" w:type="dxa"/>
            <w:gridSpan w:val="7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7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trHeight w:val="7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21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7</w:t>
            </w:r>
            <w:r w:rsidR="00804CDF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/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 не более 15</w:t>
            </w:r>
            <w:r w:rsidR="00921F08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6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/монитор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ти/сканирования, наличие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интерфейсов (сетевой интерфейс, устройства чтения карт памяти и 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BD3388" w:rsidRPr="00752B60" w:rsidRDefault="007665FC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2720" w:rsidRPr="00752B60">
              <w:rPr>
                <w:rFonts w:ascii="Times New Roman" w:hAnsi="Times New Roman" w:cs="Times New Roman"/>
                <w:sz w:val="16"/>
                <w:szCs w:val="16"/>
              </w:rPr>
              <w:t>ринтер</w:t>
            </w:r>
            <w:r w:rsidR="001E39B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формата А3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E39B9" w:rsidRPr="00752B60" w:rsidRDefault="001E39B9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</w:t>
            </w:r>
            <w:r w:rsidR="0001030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печати </w:t>
            </w:r>
            <w:r w:rsidR="00FA5CD6"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</w:t>
            </w:r>
            <w:r w:rsidR="009C494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  <w:p w:rsidR="00630E13" w:rsidRPr="00752B60" w:rsidRDefault="00630E13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>25,0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trHeight w:val="71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USB, GPS), стоимость годового владения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gridAfter w:val="1"/>
          <w:wAfter w:w="10" w:type="dxa"/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370" w:type="dxa"/>
            <w:gridSpan w:val="5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SIM-карт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интерфейсами в 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бом сочетании 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42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989" w:type="dxa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</w:tc>
        <w:tc>
          <w:tcPr>
            <w:tcW w:w="1010" w:type="dxa"/>
            <w:gridSpan w:val="2"/>
            <w:vAlign w:val="center"/>
          </w:tcPr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08675E" w:rsidRPr="00752B60" w:rsidRDefault="0008675E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2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1,5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BF7639">
        <w:trPr>
          <w:gridAfter w:val="1"/>
          <w:wAfter w:w="10" w:type="dxa"/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4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искровым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120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ская для офисов.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37EA" w:rsidRPr="00752B60" w:rsidTr="00BF7639">
        <w:trPr>
          <w:gridAfter w:val="1"/>
          <w:wAfter w:w="10" w:type="dxa"/>
          <w:trHeight w:val="410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637EA" w:rsidRPr="00752B60" w:rsidRDefault="00F637EA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637EA" w:rsidRPr="00752B60" w:rsidRDefault="00F637E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637EA" w:rsidRPr="00752B60" w:rsidRDefault="00F637E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637EA" w:rsidRPr="00752B60" w:rsidRDefault="00F637E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F637EA" w:rsidRPr="00752B60" w:rsidRDefault="00F637E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3557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823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8619C" w:rsidRPr="00752B60" w:rsidTr="00BF7639">
        <w:trPr>
          <w:gridAfter w:val="1"/>
          <w:wAfter w:w="10" w:type="dxa"/>
          <w:trHeight w:val="34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8619C" w:rsidRPr="00752B60" w:rsidRDefault="00A8619C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8619C" w:rsidRPr="00752B60" w:rsidRDefault="00A8619C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8619C" w:rsidRPr="00752B60" w:rsidRDefault="00A8619C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8619C" w:rsidRPr="00752B60" w:rsidRDefault="00A8619C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8619C" w:rsidRPr="00752B60" w:rsidRDefault="00A8619C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8619C" w:rsidRPr="00752B60" w:rsidRDefault="00A8619C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2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пород: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92F91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92F91" w:rsidRPr="00752B60" w:rsidRDefault="00A92F91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92F91" w:rsidRPr="00752B60" w:rsidRDefault="00A92F9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92F91" w:rsidRPr="00752B60" w:rsidRDefault="00A92F91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92F91" w:rsidRPr="00752B60" w:rsidRDefault="00A92F9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92F91" w:rsidRPr="00752B60" w:rsidRDefault="00A92F9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92F91" w:rsidRPr="00752B60" w:rsidRDefault="00A92F91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A92F91" w:rsidRPr="00752B60" w:rsidRDefault="00A92F91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значения;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18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  <w:p w:rsidR="00264356" w:rsidRPr="00752B60" w:rsidRDefault="00264356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фойе (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>холлах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мягколистве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пород: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50059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50059" w:rsidRPr="00752B60" w:rsidRDefault="0065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50059" w:rsidRPr="00752B60" w:rsidRDefault="0065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50059" w:rsidRPr="00752B60" w:rsidRDefault="0065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50059" w:rsidRPr="00752B60" w:rsidRDefault="0065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650059" w:rsidRPr="00752B60" w:rsidRDefault="0065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4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r w:rsidR="00B06358"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A1C33" w:rsidRPr="00752B60" w:rsidRDefault="005A1C33" w:rsidP="00F472BC">
            <w:pPr>
              <w:widowControl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9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78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38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3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43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C9B" w:rsidRPr="00752B60" w:rsidTr="00BF7639">
        <w:trPr>
          <w:gridAfter w:val="1"/>
          <w:wAfter w:w="10" w:type="dxa"/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подвижной связи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- роуминг),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F0C9B" w:rsidRPr="00752B60" w:rsidRDefault="002E5C0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81628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0C9B" w:rsidRPr="00752B60" w:rsidTr="00BF7639">
        <w:trPr>
          <w:gridAfter w:val="1"/>
          <w:wAfter w:w="10" w:type="dxa"/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F0C9B" w:rsidRPr="00752B60" w:rsidRDefault="009F0C9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1988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</w:p>
          <w:p w:rsidR="009F0C9B" w:rsidRPr="00752B60" w:rsidRDefault="009F0C9B" w:rsidP="00E838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9F0C9B" w:rsidRPr="00752B60" w:rsidRDefault="00D916E1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988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81" w:type="dxa"/>
            <w:gridSpan w:val="6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14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999" w:type="dxa"/>
            <w:gridSpan w:val="3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70" w:type="dxa"/>
            <w:gridSpan w:val="5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90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ционно-телекоммуникационную сеть «Интернет» (Гб) - да</w:t>
            </w:r>
          </w:p>
        </w:tc>
        <w:tc>
          <w:tcPr>
            <w:tcW w:w="3370" w:type="dxa"/>
            <w:gridSpan w:val="5"/>
            <w:vMerge w:val="restart"/>
            <w:vAlign w:val="center"/>
          </w:tcPr>
          <w:p w:rsidR="001C0E4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29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A7CD0" w:rsidRPr="00752B60" w:rsidTr="00BF7639">
        <w:trPr>
          <w:gridAfter w:val="1"/>
          <w:wAfter w:w="10" w:type="dxa"/>
          <w:trHeight w:val="138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CD0" w:rsidRPr="00752B60" w:rsidRDefault="00BA7CD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ED" w:rsidRPr="00752B60" w:rsidRDefault="00BA7CD0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 в месяц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>на одного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5C3B92" w:rsidP="00BA7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BA7CD0" w:rsidRPr="00752B60">
              <w:rPr>
                <w:rFonts w:ascii="Times New Roman" w:hAnsi="Times New Roman" w:cs="Times New Roman"/>
                <w:sz w:val="16"/>
                <w:szCs w:val="16"/>
              </w:rPr>
              <w:t>,0 тыс. в месяц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59A3">
        <w:trPr>
          <w:gridAfter w:val="1"/>
          <w:wAfter w:w="10" w:type="dxa"/>
          <w:trHeight w:val="254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9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6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57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0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9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BF7639">
        <w:trPr>
          <w:gridAfter w:val="1"/>
          <w:wAfter w:w="10" w:type="dxa"/>
          <w:trHeight w:val="9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9E61BB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59A3">
        <w:trPr>
          <w:gridAfter w:val="1"/>
          <w:wAfter w:w="10" w:type="dxa"/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8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</w:t>
      </w:r>
      <w:r w:rsidR="0082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делами администрации </w:t>
      </w: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5A1C33" w:rsidRDefault="0086313D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ab/>
      </w:r>
      <w:r w:rsidR="0082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E6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sectPr w:rsidR="005A1C33" w:rsidSect="00E80984"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86" w:rsidRDefault="00297086" w:rsidP="00D61AB1">
      <w:pPr>
        <w:spacing w:after="0" w:line="240" w:lineRule="auto"/>
      </w:pPr>
      <w:r>
        <w:separator/>
      </w:r>
    </w:p>
  </w:endnote>
  <w:endnote w:type="continuationSeparator" w:id="0">
    <w:p w:rsidR="00297086" w:rsidRDefault="00297086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86" w:rsidRDefault="00297086" w:rsidP="00D61AB1">
      <w:pPr>
        <w:spacing w:after="0" w:line="240" w:lineRule="auto"/>
      </w:pPr>
      <w:r>
        <w:separator/>
      </w:r>
    </w:p>
  </w:footnote>
  <w:footnote w:type="continuationSeparator" w:id="0">
    <w:p w:rsidR="00297086" w:rsidRDefault="00297086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472977" w:rsidRPr="006F4F73" w:rsidRDefault="00732CA1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2977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9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977" w:rsidRPr="009C149D" w:rsidRDefault="00472977" w:rsidP="009C149D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472977" w:rsidRPr="001D42D0" w:rsidRDefault="00732CA1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2977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98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77" w:rsidRDefault="00472977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7A7C"/>
    <w:rsid w:val="00331DDA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35B4"/>
    <w:rsid w:val="003D680E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5FA4-907B-40AC-9D7C-232A971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cp:lastPrinted>2018-12-26T08:34:00Z</cp:lastPrinted>
  <dcterms:created xsi:type="dcterms:W3CDTF">2018-12-26T08:41:00Z</dcterms:created>
  <dcterms:modified xsi:type="dcterms:W3CDTF">2019-01-10T11:11:00Z</dcterms:modified>
</cp:coreProperties>
</file>